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96B9C" w14:textId="77777777" w:rsidR="004E5909" w:rsidRDefault="004E5909" w:rsidP="000D79A2">
      <w:pPr>
        <w:ind w:left="1418" w:right="813"/>
        <w:jc w:val="both"/>
      </w:pPr>
      <w:r w:rsidRPr="004E5909">
        <w:t>The following schedule is proposed to facilitate the two-stage consultant selection process for the Bidiphar Sterile Biotechnology Drug Manufacturing Line – WHO GMP &amp; PIC/S GMP Consultancy Project. The timeline is indicative and will be finalized by Bidiphar.</w:t>
      </w:r>
    </w:p>
    <w:tbl>
      <w:tblPr>
        <w:tblW w:w="13494" w:type="dxa"/>
        <w:jc w:val="center"/>
        <w:tblLook w:val="04A0" w:firstRow="1" w:lastRow="0" w:firstColumn="1" w:lastColumn="0" w:noHBand="0" w:noVBand="1"/>
      </w:tblPr>
      <w:tblGrid>
        <w:gridCol w:w="1902"/>
        <w:gridCol w:w="831"/>
        <w:gridCol w:w="3020"/>
        <w:gridCol w:w="1318"/>
        <w:gridCol w:w="2696"/>
        <w:gridCol w:w="1803"/>
        <w:gridCol w:w="1924"/>
      </w:tblGrid>
      <w:tr w:rsidR="00AE3BB7" w:rsidRPr="000C456A" w14:paraId="6AF7C818" w14:textId="5A736EAF" w:rsidTr="000D79A2">
        <w:trPr>
          <w:trHeight w:val="570"/>
          <w:tblHeader/>
          <w:jc w:val="center"/>
          <w:cantSplit/>
        </w:trPr>
        <w:tc>
          <w:tcPr>
            <w:tcW w:w="1902" w:type="dxa"/>
            <w:tcBorders>
              <w:top w:val="single" w:sz="4" w:space="0" w:color="auto"/>
              <w:left w:val="single" w:sz="4" w:space="0" w:color="auto"/>
              <w:bottom w:val="single" w:sz="4" w:space="0" w:color="auto"/>
              <w:right w:val="single" w:sz="4" w:space="0" w:color="auto"/>
            </w:tcBorders>
            <w:shd w:val="clear" w:color="000000" w:fill="8DB4E2"/>
            <w:vAlign w:val="center"/>
            <w:hideMark/>
          </w:tcPr>
          <w:p w14:paraId="375A3B11" w14:textId="77777777" w:rsidR="00AE3BB7" w:rsidRPr="000C456A" w:rsidRDefault="00AE3BB7" w:rsidP="000C456A">
            <w:pPr>
              <w:spacing w:after="0" w:line="240" w:lineRule="auto"/>
              <w:jc w:val="center"/>
              <w:rPr>
                <w:rFonts w:ascii="Calibri" w:eastAsia="Times New Roman" w:hAnsi="Calibri" w:cs="Calibri"/>
                <w:b/>
                <w:bCs/>
                <w:color w:val="000000"/>
              </w:rPr>
            </w:pPr>
            <w:r w:rsidRPr="000C456A">
              <w:rPr>
                <w:rFonts w:ascii="Calibri" w:eastAsia="Times New Roman" w:hAnsi="Calibri" w:cs="Calibri"/>
                <w:b/>
                <w:bCs/>
                <w:color w:val="000000"/>
              </w:rPr>
              <w:t>Phase</w:t>
            </w:r>
          </w:p>
        </w:tc>
        <w:tc>
          <w:tcPr>
            <w:tcW w:w="831" w:type="dxa"/>
            <w:tcBorders>
              <w:top w:val="single" w:sz="4" w:space="0" w:color="auto"/>
              <w:left w:val="nil"/>
              <w:bottom w:val="single" w:sz="4" w:space="0" w:color="auto"/>
              <w:right w:val="single" w:sz="4" w:space="0" w:color="auto"/>
            </w:tcBorders>
            <w:shd w:val="clear" w:color="000000" w:fill="8DB4E2"/>
            <w:vAlign w:val="center"/>
            <w:hideMark/>
          </w:tcPr>
          <w:p w14:paraId="1B98D983" w14:textId="77777777" w:rsidR="00AE3BB7" w:rsidRPr="000C456A" w:rsidRDefault="00AE3BB7" w:rsidP="000C456A">
            <w:pPr>
              <w:spacing w:after="0" w:line="240" w:lineRule="auto"/>
              <w:jc w:val="center"/>
              <w:rPr>
                <w:rFonts w:ascii="Calibri" w:eastAsia="Times New Roman" w:hAnsi="Calibri" w:cs="Calibri"/>
                <w:b/>
                <w:bCs/>
                <w:color w:val="000000"/>
              </w:rPr>
            </w:pPr>
            <w:r w:rsidRPr="000C456A">
              <w:rPr>
                <w:rFonts w:ascii="Calibri" w:eastAsia="Times New Roman" w:hAnsi="Calibri" w:cs="Calibri"/>
                <w:b/>
                <w:bCs/>
                <w:color w:val="000000"/>
              </w:rPr>
              <w:t>No.</w:t>
            </w:r>
          </w:p>
        </w:tc>
        <w:tc>
          <w:tcPr>
            <w:tcW w:w="3020" w:type="dxa"/>
            <w:tcBorders>
              <w:top w:val="single" w:sz="4" w:space="0" w:color="auto"/>
              <w:left w:val="nil"/>
              <w:bottom w:val="single" w:sz="4" w:space="0" w:color="auto"/>
              <w:right w:val="single" w:sz="4" w:space="0" w:color="auto"/>
            </w:tcBorders>
            <w:shd w:val="clear" w:color="000000" w:fill="8DB4E2"/>
            <w:vAlign w:val="center"/>
            <w:hideMark/>
          </w:tcPr>
          <w:p w14:paraId="51DD445D" w14:textId="77777777" w:rsidR="00AE3BB7" w:rsidRPr="000C456A" w:rsidRDefault="00AE3BB7" w:rsidP="000C456A">
            <w:pPr>
              <w:spacing w:after="0" w:line="240" w:lineRule="auto"/>
              <w:jc w:val="center"/>
              <w:rPr>
                <w:rFonts w:ascii="Calibri" w:eastAsia="Times New Roman" w:hAnsi="Calibri" w:cs="Calibri"/>
                <w:b/>
                <w:bCs/>
                <w:color w:val="000000"/>
              </w:rPr>
            </w:pPr>
            <w:r w:rsidRPr="000C456A">
              <w:rPr>
                <w:rFonts w:ascii="Calibri" w:eastAsia="Times New Roman" w:hAnsi="Calibri" w:cs="Calibri"/>
                <w:b/>
                <w:bCs/>
                <w:color w:val="000000"/>
              </w:rPr>
              <w:t>Activity</w:t>
            </w:r>
          </w:p>
        </w:tc>
        <w:tc>
          <w:tcPr>
            <w:tcW w:w="1318" w:type="dxa"/>
            <w:tcBorders>
              <w:top w:val="single" w:sz="4" w:space="0" w:color="auto"/>
              <w:left w:val="nil"/>
              <w:bottom w:val="single" w:sz="4" w:space="0" w:color="auto"/>
              <w:right w:val="single" w:sz="4" w:space="0" w:color="auto"/>
            </w:tcBorders>
            <w:shd w:val="clear" w:color="000000" w:fill="8DB4E2"/>
            <w:vAlign w:val="center"/>
            <w:hideMark/>
          </w:tcPr>
          <w:p w14:paraId="30949275" w14:textId="77777777" w:rsidR="00AE3BB7" w:rsidRPr="000C456A" w:rsidRDefault="00AE3BB7" w:rsidP="000C456A">
            <w:pPr>
              <w:spacing w:after="0" w:line="240" w:lineRule="auto"/>
              <w:jc w:val="center"/>
              <w:rPr>
                <w:rFonts w:ascii="Calibri" w:eastAsia="Times New Roman" w:hAnsi="Calibri" w:cs="Calibri"/>
                <w:b/>
                <w:bCs/>
                <w:color w:val="000000"/>
              </w:rPr>
            </w:pPr>
            <w:r w:rsidRPr="000C456A">
              <w:rPr>
                <w:rFonts w:ascii="Calibri" w:eastAsia="Times New Roman" w:hAnsi="Calibri" w:cs="Calibri"/>
                <w:b/>
                <w:bCs/>
                <w:color w:val="000000"/>
              </w:rPr>
              <w:t>Responsible Party</w:t>
            </w:r>
          </w:p>
        </w:tc>
        <w:tc>
          <w:tcPr>
            <w:tcW w:w="2696" w:type="dxa"/>
            <w:tcBorders>
              <w:top w:val="single" w:sz="4" w:space="0" w:color="auto"/>
              <w:left w:val="nil"/>
              <w:bottom w:val="single" w:sz="4" w:space="0" w:color="auto"/>
              <w:right w:val="single" w:sz="4" w:space="0" w:color="auto"/>
            </w:tcBorders>
            <w:shd w:val="clear" w:color="000000" w:fill="8DB4E2"/>
            <w:vAlign w:val="center"/>
            <w:hideMark/>
          </w:tcPr>
          <w:p w14:paraId="4EC350D8" w14:textId="77777777" w:rsidR="00AE3BB7" w:rsidRPr="000C456A" w:rsidRDefault="00AE3BB7" w:rsidP="000C456A">
            <w:pPr>
              <w:spacing w:after="0" w:line="240" w:lineRule="auto"/>
              <w:jc w:val="center"/>
              <w:rPr>
                <w:rFonts w:ascii="Calibri" w:eastAsia="Times New Roman" w:hAnsi="Calibri" w:cs="Calibri"/>
                <w:b/>
                <w:bCs/>
                <w:color w:val="000000"/>
              </w:rPr>
            </w:pPr>
            <w:r w:rsidRPr="000C456A">
              <w:rPr>
                <w:rFonts w:ascii="Calibri" w:eastAsia="Times New Roman" w:hAnsi="Calibri" w:cs="Calibri"/>
                <w:b/>
                <w:bCs/>
                <w:color w:val="000000"/>
              </w:rPr>
              <w:t>Deliverable / Outcome</w:t>
            </w:r>
          </w:p>
        </w:tc>
        <w:tc>
          <w:tcPr>
            <w:tcW w:w="1803" w:type="dxa"/>
            <w:tcBorders>
              <w:top w:val="single" w:sz="4" w:space="0" w:color="auto"/>
              <w:left w:val="nil"/>
              <w:bottom w:val="single" w:sz="4" w:space="0" w:color="auto"/>
              <w:right w:val="single" w:sz="4" w:space="0" w:color="auto"/>
            </w:tcBorders>
            <w:shd w:val="clear" w:color="000000" w:fill="8DB4E2"/>
            <w:vAlign w:val="center"/>
            <w:hideMark/>
          </w:tcPr>
          <w:p w14:paraId="36014D1B" w14:textId="53E08D9A" w:rsidR="00AE3BB7" w:rsidRPr="000C456A" w:rsidRDefault="00AE3BB7" w:rsidP="000C456A">
            <w:pPr>
              <w:spacing w:after="0" w:line="240" w:lineRule="auto"/>
              <w:jc w:val="center"/>
              <w:rPr>
                <w:rFonts w:ascii="Calibri" w:eastAsia="Times New Roman" w:hAnsi="Calibri" w:cs="Calibri"/>
                <w:b/>
                <w:bCs/>
                <w:color w:val="000000"/>
              </w:rPr>
            </w:pPr>
            <w:r w:rsidRPr="000C456A">
              <w:rPr>
                <w:rFonts w:ascii="Calibri" w:eastAsia="Times New Roman" w:hAnsi="Calibri" w:cs="Calibri"/>
                <w:b/>
                <w:bCs/>
                <w:color w:val="000000"/>
              </w:rPr>
              <w:t>Tentative Timeline</w:t>
            </w:r>
            <w:r w:rsidR="009A2407">
              <w:rPr>
                <w:rFonts w:ascii="Calibri" w:eastAsia="Times New Roman" w:hAnsi="Calibri" w:cs="Calibri"/>
                <w:b/>
                <w:bCs/>
                <w:color w:val="000000"/>
              </w:rPr>
              <w:t xml:space="preserve"> (Bidiphar)</w:t>
            </w:r>
          </w:p>
        </w:tc>
        <w:tc>
          <w:tcPr>
            <w:tcW w:w="1924" w:type="dxa"/>
            <w:tcBorders>
              <w:top w:val="single" w:sz="4" w:space="0" w:color="auto"/>
              <w:left w:val="nil"/>
              <w:bottom w:val="single" w:sz="4" w:space="0" w:color="auto"/>
              <w:right w:val="single" w:sz="4" w:space="0" w:color="auto"/>
            </w:tcBorders>
            <w:shd w:val="clear" w:color="000000" w:fill="8DB4E2"/>
          </w:tcPr>
          <w:p w14:paraId="196A0A51" w14:textId="6F4AA5A1" w:rsidR="00AE3BB7" w:rsidRPr="000C456A" w:rsidRDefault="00AE3BB7" w:rsidP="000C456A">
            <w:pPr>
              <w:spacing w:after="0" w:line="240" w:lineRule="auto"/>
              <w:jc w:val="center"/>
              <w:rPr>
                <w:rFonts w:ascii="Calibri" w:eastAsia="Times New Roman" w:hAnsi="Calibri" w:cs="Calibri"/>
                <w:b/>
                <w:bCs/>
                <w:color w:val="000000"/>
              </w:rPr>
            </w:pPr>
            <w:r w:rsidRPr="00AE3BB7">
              <w:rPr>
                <w:rFonts w:ascii="Calibri" w:eastAsia="Times New Roman" w:hAnsi="Calibri" w:cs="Calibri"/>
                <w:b/>
                <w:bCs/>
                <w:color w:val="000000"/>
              </w:rPr>
              <w:t>Consultant's Proposed Revision (if any)</w:t>
            </w:r>
          </w:p>
        </w:tc>
      </w:tr>
      <w:tr w:rsidR="00AE3BB7" w:rsidRPr="002B4225" w14:paraId="7C3905F6" w14:textId="141A77A1" w:rsidTr="000D79A2">
        <w:trPr>
          <w:trHeight w:val="285"/>
          <w:jc w:val="center"/>
          <w:cantSplit/>
        </w:trPr>
        <w:tc>
          <w:tcPr>
            <w:tcW w:w="1902" w:type="dxa"/>
            <w:tcBorders>
              <w:top w:val="nil"/>
              <w:left w:val="single" w:sz="4" w:space="0" w:color="auto"/>
              <w:bottom w:val="single" w:sz="4" w:space="0" w:color="auto"/>
              <w:right w:val="single" w:sz="4" w:space="0" w:color="auto"/>
            </w:tcBorders>
            <w:vAlign w:val="center"/>
            <w:hideMark/>
          </w:tcPr>
          <w:p>
            <w:r>
              <w:t>Stage 1</w:t>
            </w:r>
          </w:p>
        </w:tc>
        <w:tc>
          <w:tcPr>
            <w:tcW w:w="831" w:type="dxa"/>
            <w:vMerge w:val="restart"/>
            <w:tcBorders>
              <w:top w:val="nil"/>
              <w:left w:val="single" w:sz="4" w:space="0" w:color="auto"/>
              <w:bottom w:val="single" w:sz="4" w:space="0" w:color="auto"/>
              <w:right w:val="single" w:sz="4" w:space="0" w:color="auto"/>
            </w:tcBorders>
            <w:vAlign w:val="center"/>
            <w:hideMark/>
          </w:tcPr>
          <w:p>
            <w:r>
              <w:t>1</w:t>
            </w:r>
          </w:p>
        </w:tc>
        <w:tc>
          <w:tcPr>
            <w:tcW w:w="3020" w:type="dxa"/>
            <w:vMerge w:val="restart"/>
            <w:tcBorders>
              <w:top w:val="nil"/>
              <w:left w:val="single" w:sz="4" w:space="0" w:color="auto"/>
              <w:bottom w:val="single" w:sz="4" w:space="0" w:color="auto"/>
              <w:right w:val="single" w:sz="4" w:space="0" w:color="auto"/>
            </w:tcBorders>
            <w:vAlign w:val="center"/>
            <w:hideMark/>
          </w:tcPr>
          <w:p>
            <w:r>
              <w:t>Stage 1 invitation issued / website publication</w:t>
            </w:r>
          </w:p>
        </w:tc>
        <w:tc>
          <w:tcPr>
            <w:tcW w:w="1318" w:type="dxa"/>
            <w:vMerge w:val="restart"/>
            <w:tcBorders>
              <w:top w:val="nil"/>
              <w:left w:val="single" w:sz="4" w:space="0" w:color="auto"/>
              <w:bottom w:val="single" w:sz="4" w:space="0" w:color="auto"/>
              <w:right w:val="single" w:sz="4" w:space="0" w:color="auto"/>
            </w:tcBorders>
            <w:vAlign w:val="center"/>
            <w:hideMark/>
          </w:tcPr>
          <w:p>
            <w:r>
              <w:t>Bidiphar</w:t>
            </w:r>
          </w:p>
        </w:tc>
        <w:tc>
          <w:tcPr>
            <w:tcW w:w="2696" w:type="dxa"/>
            <w:vMerge w:val="restart"/>
            <w:tcBorders>
              <w:top w:val="nil"/>
              <w:left w:val="single" w:sz="4" w:space="0" w:color="auto"/>
              <w:bottom w:val="single" w:sz="4" w:space="0" w:color="auto"/>
              <w:right w:val="single" w:sz="4" w:space="0" w:color="auto"/>
            </w:tcBorders>
            <w:vAlign w:val="center"/>
            <w:hideMark/>
          </w:tcPr>
          <w:p>
            <w:r>
              <w:t>Invitation Package</w:t>
            </w:r>
          </w:p>
        </w:tc>
        <w:tc>
          <w:tcPr>
            <w:tcW w:w="1803" w:type="dxa"/>
            <w:vMerge w:val="restart"/>
            <w:tcBorders>
              <w:top w:val="nil"/>
              <w:left w:val="single" w:sz="4" w:space="0" w:color="auto"/>
              <w:bottom w:val="single" w:sz="4" w:space="0" w:color="auto"/>
              <w:right w:val="single" w:sz="4" w:space="0" w:color="auto"/>
            </w:tcBorders>
            <w:vAlign w:val="center"/>
            <w:hideMark/>
          </w:tcPr>
          <w:p>
            <w:r>
              <w:t>13-Aug-2026</w:t>
            </w:r>
          </w:p>
        </w:tc>
        <w:tc>
          <w:tcPr>
            <w:tcW w:w="1924" w:type="dxa"/>
            <w:vMerge w:val="restart"/>
            <w:tcBorders>
              <w:top w:val="nil"/>
              <w:left w:val="single" w:sz="4" w:space="0" w:color="auto"/>
              <w:right w:val="single" w:sz="4" w:space="0" w:color="auto"/>
            </w:tcBorders>
          </w:tcPr>
          <w:p>
            <w:r/>
          </w:p>
        </w:tc>
      </w:tr>
      <w:tr w:rsidR="00AE3BB7" w:rsidRPr="002B4225" w14:paraId="25318C23" w14:textId="0E8BFD1B" w:rsidTr="000D79A2">
        <w:trPr>
          <w:trHeight w:val="285"/>
          <w:jc w:val="center"/>
          <w:cantSplit/>
        </w:trPr>
        <w:tc>
          <w:tcPr>
            <w:tcW w:w="1902" w:type="dxa"/>
            <w:tcBorders>
              <w:top w:val="nil"/>
              <w:left w:val="single" w:sz="4" w:space="0" w:color="auto"/>
              <w:bottom w:val="single" w:sz="4" w:space="0" w:color="auto"/>
              <w:right w:val="single" w:sz="4" w:space="0" w:color="auto"/>
            </w:tcBorders>
            <w:vAlign w:val="center"/>
            <w:hideMark/>
          </w:tcPr>
          <w:p>
            <w:r>
              <w:t>Registration</w:t>
            </w:r>
          </w:p>
        </w:tc>
        <w:tc>
          <w:tcPr>
            <w:tcW w:w="831" w:type="dxa"/>
            <w:vMerge/>
            <w:tcBorders>
              <w:top w:val="nil"/>
              <w:left w:val="single" w:sz="4" w:space="0" w:color="auto"/>
              <w:bottom w:val="single" w:sz="4" w:space="0" w:color="auto"/>
              <w:right w:val="single" w:sz="4" w:space="0" w:color="auto"/>
            </w:tcBorders>
            <w:vAlign w:val="center"/>
            <w:hideMark/>
          </w:tcPr>
          <w:p w14:paraId="413BB4ED" w14:textId="77777777" w:rsidR="00AE3BB7" w:rsidRPr="000C456A" w:rsidRDefault="00AE3BB7" w:rsidP="000C456A">
            <w:pPr>
              <w:spacing w:after="0" w:line="240" w:lineRule="auto"/>
              <w:rPr>
                <w:rFonts w:ascii="Calibri" w:eastAsia="Times New Roman" w:hAnsi="Calibri" w:cs="Calibri"/>
                <w:color w:val="000000"/>
              </w:rPr>
            </w:pPr>
          </w:p>
        </w:tc>
        <w:tc>
          <w:tcPr>
            <w:tcW w:w="3020" w:type="dxa"/>
            <w:vMerge/>
            <w:tcBorders>
              <w:top w:val="nil"/>
              <w:left w:val="single" w:sz="4" w:space="0" w:color="auto"/>
              <w:bottom w:val="single" w:sz="4" w:space="0" w:color="auto"/>
              <w:right w:val="single" w:sz="4" w:space="0" w:color="auto"/>
            </w:tcBorders>
            <w:vAlign w:val="center"/>
            <w:hideMark/>
          </w:tcPr>
          <w:p w14:paraId="2A98B0C8" w14:textId="77777777" w:rsidR="00AE3BB7" w:rsidRPr="000C456A" w:rsidRDefault="00AE3BB7" w:rsidP="000C456A">
            <w:pPr>
              <w:spacing w:after="0" w:line="240" w:lineRule="auto"/>
              <w:rPr>
                <w:rFonts w:ascii="Calibri" w:eastAsia="Times New Roman" w:hAnsi="Calibri" w:cs="Calibri"/>
                <w:color w:val="000000"/>
              </w:rPr>
            </w:pPr>
          </w:p>
        </w:tc>
        <w:tc>
          <w:tcPr>
            <w:tcW w:w="1318" w:type="dxa"/>
            <w:vMerge/>
            <w:tcBorders>
              <w:top w:val="nil"/>
              <w:left w:val="single" w:sz="4" w:space="0" w:color="auto"/>
              <w:bottom w:val="single" w:sz="4" w:space="0" w:color="auto"/>
              <w:right w:val="single" w:sz="4" w:space="0" w:color="auto"/>
            </w:tcBorders>
            <w:vAlign w:val="center"/>
            <w:hideMark/>
          </w:tcPr>
          <w:p w14:paraId="3EC2A37A" w14:textId="77777777" w:rsidR="00AE3BB7" w:rsidRPr="000C456A" w:rsidRDefault="00AE3BB7" w:rsidP="000C456A">
            <w:pPr>
              <w:spacing w:after="0" w:line="240" w:lineRule="auto"/>
              <w:rPr>
                <w:rFonts w:ascii="Calibri" w:eastAsia="Times New Roman" w:hAnsi="Calibri" w:cs="Calibri"/>
                <w:color w:val="000000"/>
              </w:rPr>
            </w:pPr>
          </w:p>
        </w:tc>
        <w:tc>
          <w:tcPr>
            <w:tcW w:w="2696" w:type="dxa"/>
            <w:vMerge/>
            <w:tcBorders>
              <w:top w:val="nil"/>
              <w:left w:val="single" w:sz="4" w:space="0" w:color="auto"/>
              <w:bottom w:val="single" w:sz="4" w:space="0" w:color="auto"/>
              <w:right w:val="single" w:sz="4" w:space="0" w:color="auto"/>
            </w:tcBorders>
            <w:vAlign w:val="center"/>
            <w:hideMark/>
          </w:tcPr>
          <w:p w14:paraId="4C064959" w14:textId="77777777" w:rsidR="00AE3BB7" w:rsidRPr="000C456A" w:rsidRDefault="00AE3BB7" w:rsidP="000C456A">
            <w:pPr>
              <w:spacing w:after="0" w:line="240" w:lineRule="auto"/>
              <w:rPr>
                <w:rFonts w:ascii="Calibri" w:eastAsia="Times New Roman" w:hAnsi="Calibri" w:cs="Calibri"/>
                <w:color w:val="000000"/>
              </w:rPr>
            </w:pPr>
          </w:p>
        </w:tc>
        <w:tc>
          <w:tcPr>
            <w:tcW w:w="1803" w:type="dxa"/>
            <w:vMerge/>
            <w:tcBorders>
              <w:top w:val="nil"/>
              <w:left w:val="single" w:sz="4" w:space="0" w:color="auto"/>
              <w:bottom w:val="single" w:sz="4" w:space="0" w:color="auto"/>
              <w:right w:val="single" w:sz="4" w:space="0" w:color="auto"/>
            </w:tcBorders>
            <w:vAlign w:val="center"/>
            <w:hideMark/>
          </w:tcPr>
          <w:p w14:paraId="2838C6DB" w14:textId="77777777" w:rsidR="00AE3BB7" w:rsidRPr="002B4225" w:rsidRDefault="00AE3BB7" w:rsidP="000C456A">
            <w:pPr>
              <w:spacing w:after="0" w:line="240" w:lineRule="auto"/>
              <w:rPr>
                <w:rFonts w:ascii="Calibri" w:eastAsia="Times New Roman" w:hAnsi="Calibri" w:cs="Calibri"/>
                <w:b/>
                <w:bCs/>
                <w:color w:val="000000"/>
              </w:rPr>
            </w:pPr>
          </w:p>
        </w:tc>
        <w:tc>
          <w:tcPr>
            <w:tcW w:w="1924" w:type="dxa"/>
            <w:vMerge/>
            <w:tcBorders>
              <w:left w:val="single" w:sz="4" w:space="0" w:color="auto"/>
              <w:bottom w:val="single" w:sz="4" w:space="0" w:color="auto"/>
              <w:right w:val="single" w:sz="4" w:space="0" w:color="auto"/>
            </w:tcBorders>
          </w:tcPr>
          <w:p w14:paraId="2B79BCAB" w14:textId="77777777" w:rsidR="00AE3BB7" w:rsidRPr="002B4225" w:rsidRDefault="00AE3BB7" w:rsidP="000C456A">
            <w:pPr>
              <w:spacing w:after="0" w:line="240" w:lineRule="auto"/>
              <w:rPr>
                <w:rFonts w:ascii="Calibri" w:eastAsia="Times New Roman" w:hAnsi="Calibri" w:cs="Calibri"/>
                <w:b/>
                <w:bCs/>
                <w:color w:val="000000"/>
              </w:rPr>
            </w:pPr>
          </w:p>
        </w:tc>
      </w:tr>
      <w:tr w:rsidR="00AE3BB7" w:rsidRPr="000C456A" w14:paraId="5881AD62" w14:textId="7847A703" w:rsidTr="000D79A2">
        <w:trPr>
          <w:trHeight w:val="938"/>
          <w:jc w:val="center"/>
          <w:cantSplit/>
        </w:trPr>
        <w:tc>
          <w:tcPr>
            <w:tcW w:w="1902" w:type="dxa"/>
            <w:tcBorders>
              <w:top w:val="nil"/>
              <w:left w:val="single" w:sz="4" w:space="0" w:color="auto"/>
              <w:bottom w:val="single" w:sz="4" w:space="0" w:color="auto"/>
              <w:right w:val="single" w:sz="4" w:space="0" w:color="auto"/>
            </w:tcBorders>
            <w:vAlign w:val="center"/>
            <w:hideMark/>
          </w:tcPr>
          <w:p>
            <w:r/>
          </w:p>
        </w:tc>
        <w:tc>
          <w:tcPr>
            <w:tcW w:w="831" w:type="dxa"/>
            <w:tcBorders>
              <w:top w:val="nil"/>
              <w:left w:val="nil"/>
              <w:bottom w:val="single" w:sz="4" w:space="0" w:color="auto"/>
              <w:right w:val="single" w:sz="4" w:space="0" w:color="auto"/>
            </w:tcBorders>
            <w:vAlign w:val="center"/>
            <w:hideMark/>
          </w:tcPr>
          <w:p>
            <w:r>
              <w:t>2</w:t>
            </w:r>
          </w:p>
        </w:tc>
        <w:tc>
          <w:tcPr>
            <w:tcW w:w="3020" w:type="dxa"/>
            <w:tcBorders>
              <w:top w:val="nil"/>
              <w:left w:val="nil"/>
              <w:bottom w:val="single" w:sz="4" w:space="0" w:color="auto"/>
              <w:right w:val="single" w:sz="4" w:space="0" w:color="auto"/>
            </w:tcBorders>
            <w:vAlign w:val="center"/>
            <w:hideMark/>
          </w:tcPr>
          <w:p>
            <w:r>
              <w:t>Submit Stage 1 registration package: Confirmation, signed NDA, presentation registration, qualification and experience forms</w:t>
            </w:r>
          </w:p>
        </w:tc>
        <w:tc>
          <w:tcPr>
            <w:tcW w:w="1318" w:type="dxa"/>
            <w:tcBorders>
              <w:top w:val="nil"/>
              <w:left w:val="nil"/>
              <w:bottom w:val="single" w:sz="4" w:space="0" w:color="auto"/>
              <w:right w:val="single" w:sz="4" w:space="0" w:color="auto"/>
            </w:tcBorders>
            <w:vAlign w:val="center"/>
            <w:hideMark/>
          </w:tcPr>
          <w:p>
            <w:r>
              <w:t>Consulting Firm</w:t>
            </w:r>
          </w:p>
        </w:tc>
        <w:tc>
          <w:tcPr>
            <w:tcW w:w="2696" w:type="dxa"/>
            <w:tcBorders>
              <w:top w:val="nil"/>
              <w:left w:val="nil"/>
              <w:bottom w:val="single" w:sz="4" w:space="0" w:color="auto"/>
              <w:right w:val="single" w:sz="4" w:space="0" w:color="auto"/>
            </w:tcBorders>
            <w:vAlign w:val="center"/>
            <w:hideMark/>
          </w:tcPr>
          <w:p>
            <w:r>
              <w:t>Registration Package</w:t>
            </w:r>
          </w:p>
        </w:tc>
        <w:tc>
          <w:tcPr>
            <w:tcW w:w="1803" w:type="dxa"/>
            <w:tcBorders>
              <w:top w:val="nil"/>
              <w:left w:val="nil"/>
              <w:bottom w:val="single" w:sz="4" w:space="0" w:color="auto"/>
              <w:right w:val="single" w:sz="4" w:space="0" w:color="auto"/>
            </w:tcBorders>
            <w:vAlign w:val="center"/>
            <w:hideMark/>
          </w:tcPr>
          <w:p>
            <w:r>
              <w:t>By 17-Aug-2026</w:t>
            </w:r>
          </w:p>
        </w:tc>
        <w:tc>
          <w:tcPr>
            <w:tcW w:w="1924" w:type="dxa"/>
            <w:tcBorders>
              <w:top w:val="nil"/>
              <w:left w:val="nil"/>
              <w:bottom w:val="single" w:sz="4" w:space="0" w:color="auto"/>
              <w:right w:val="single" w:sz="4" w:space="0" w:color="auto"/>
            </w:tcBorders>
          </w:tcPr>
          <w:p>
            <w:r/>
          </w:p>
        </w:tc>
      </w:tr>
      <w:tr w:rsidR="00AE3BB7" w:rsidRPr="000C456A" w14:paraId="1228B611" w14:textId="5C46C440" w:rsidTr="000D79A2">
        <w:trPr>
          <w:trHeight w:val="285"/>
          <w:jc w:val="center"/>
          <w:cantSplit/>
        </w:trPr>
        <w:tc>
          <w:tcPr>
            <w:tcW w:w="1902" w:type="dxa"/>
            <w:tcBorders>
              <w:top w:val="nil"/>
              <w:left w:val="single" w:sz="4" w:space="0" w:color="auto"/>
              <w:bottom w:val="single" w:sz="4" w:space="0" w:color="auto"/>
              <w:right w:val="single" w:sz="4" w:space="0" w:color="auto"/>
            </w:tcBorders>
            <w:vAlign w:val="center"/>
            <w:hideMark/>
          </w:tcPr>
          <w:p>
            <w:r>
              <w:t>Stage 2</w:t>
            </w:r>
          </w:p>
        </w:tc>
        <w:tc>
          <w:tcPr>
            <w:tcW w:w="831" w:type="dxa"/>
            <w:vMerge w:val="restart"/>
            <w:tcBorders>
              <w:top w:val="nil"/>
              <w:left w:val="single" w:sz="4" w:space="0" w:color="auto"/>
              <w:bottom w:val="single" w:sz="4" w:space="0" w:color="auto"/>
              <w:right w:val="single" w:sz="4" w:space="0" w:color="auto"/>
            </w:tcBorders>
            <w:vAlign w:val="center"/>
            <w:hideMark/>
          </w:tcPr>
          <w:p>
            <w:r>
              <w:t>3</w:t>
            </w:r>
          </w:p>
        </w:tc>
        <w:tc>
          <w:tcPr>
            <w:tcW w:w="3020" w:type="dxa"/>
            <w:vMerge w:val="restart"/>
            <w:tcBorders>
              <w:top w:val="nil"/>
              <w:left w:val="single" w:sz="4" w:space="0" w:color="auto"/>
              <w:bottom w:val="single" w:sz="4" w:space="0" w:color="auto"/>
              <w:right w:val="single" w:sz="4" w:space="0" w:color="auto"/>
            </w:tcBorders>
            <w:vAlign w:val="center"/>
            <w:hideMark/>
          </w:tcPr>
          <w:p>
            <w:r>
              <w:t>Pre-qualification review and official URS / RFP issuance</w:t>
            </w:r>
          </w:p>
        </w:tc>
        <w:tc>
          <w:tcPr>
            <w:tcW w:w="1318" w:type="dxa"/>
            <w:vMerge w:val="restart"/>
            <w:tcBorders>
              <w:top w:val="nil"/>
              <w:left w:val="single" w:sz="4" w:space="0" w:color="auto"/>
              <w:bottom w:val="single" w:sz="4" w:space="0" w:color="auto"/>
              <w:right w:val="single" w:sz="4" w:space="0" w:color="auto"/>
            </w:tcBorders>
            <w:vAlign w:val="center"/>
            <w:hideMark/>
          </w:tcPr>
          <w:p>
            <w:r>
              <w:t>Bidiphar</w:t>
            </w:r>
          </w:p>
        </w:tc>
        <w:tc>
          <w:tcPr>
            <w:tcW w:w="2696" w:type="dxa"/>
            <w:vMerge w:val="restart"/>
            <w:tcBorders>
              <w:top w:val="nil"/>
              <w:left w:val="single" w:sz="4" w:space="0" w:color="auto"/>
              <w:bottom w:val="single" w:sz="4" w:space="0" w:color="auto"/>
              <w:right w:val="single" w:sz="4" w:space="0" w:color="auto"/>
            </w:tcBorders>
            <w:vAlign w:val="center"/>
            <w:hideMark/>
          </w:tcPr>
          <w:p>
            <w:r>
              <w:t>Eligible List &amp; RFP</w:t>
            </w:r>
          </w:p>
        </w:tc>
        <w:tc>
          <w:tcPr>
            <w:tcW w:w="1803" w:type="dxa"/>
            <w:vMerge w:val="restart"/>
            <w:tcBorders>
              <w:top w:val="nil"/>
              <w:left w:val="single" w:sz="4" w:space="0" w:color="auto"/>
              <w:bottom w:val="single" w:sz="4" w:space="0" w:color="auto"/>
              <w:right w:val="single" w:sz="4" w:space="0" w:color="auto"/>
            </w:tcBorders>
            <w:vAlign w:val="center"/>
            <w:hideMark/>
          </w:tcPr>
          <w:p>
            <w:r>
              <w:t>18-Aug-2026</w:t>
            </w:r>
          </w:p>
        </w:tc>
        <w:tc>
          <w:tcPr>
            <w:tcW w:w="1924" w:type="dxa"/>
            <w:vMerge w:val="restart"/>
            <w:tcBorders>
              <w:top w:val="nil"/>
              <w:left w:val="single" w:sz="4" w:space="0" w:color="auto"/>
              <w:right w:val="single" w:sz="4" w:space="0" w:color="auto"/>
            </w:tcBorders>
          </w:tcPr>
          <w:p>
            <w:r/>
          </w:p>
        </w:tc>
      </w:tr>
      <w:tr w:rsidR="00AE3BB7" w:rsidRPr="000C456A" w14:paraId="7C45ECFF" w14:textId="3A20BCE7" w:rsidTr="000D79A2">
        <w:trPr>
          <w:trHeight w:val="285"/>
          <w:jc w:val="center"/>
          <w:cantSplit/>
        </w:trPr>
        <w:tc>
          <w:tcPr>
            <w:tcW w:w="1902" w:type="dxa"/>
            <w:tcBorders>
              <w:top w:val="nil"/>
              <w:left w:val="single" w:sz="4" w:space="0" w:color="auto"/>
              <w:bottom w:val="single" w:sz="4" w:space="0" w:color="auto"/>
              <w:right w:val="single" w:sz="4" w:space="0" w:color="auto"/>
            </w:tcBorders>
            <w:vAlign w:val="center"/>
            <w:hideMark/>
          </w:tcPr>
          <w:p>
            <w:r>
              <w:t>Tender Issuance</w:t>
            </w:r>
          </w:p>
        </w:tc>
        <w:tc>
          <w:tcPr>
            <w:tcW w:w="831" w:type="dxa"/>
            <w:vMerge/>
            <w:tcBorders>
              <w:top w:val="nil"/>
              <w:left w:val="single" w:sz="4" w:space="0" w:color="auto"/>
              <w:bottom w:val="single" w:sz="4" w:space="0" w:color="auto"/>
              <w:right w:val="single" w:sz="4" w:space="0" w:color="auto"/>
            </w:tcBorders>
            <w:vAlign w:val="center"/>
            <w:hideMark/>
          </w:tcPr>
          <w:p w14:paraId="50D3F982" w14:textId="77777777" w:rsidR="00AE3BB7" w:rsidRPr="000C456A" w:rsidRDefault="00AE3BB7" w:rsidP="000C456A">
            <w:pPr>
              <w:spacing w:after="0" w:line="240" w:lineRule="auto"/>
              <w:rPr>
                <w:rFonts w:ascii="Calibri" w:eastAsia="Times New Roman" w:hAnsi="Calibri" w:cs="Calibri"/>
                <w:color w:val="000000"/>
              </w:rPr>
            </w:pPr>
          </w:p>
        </w:tc>
        <w:tc>
          <w:tcPr>
            <w:tcW w:w="3020" w:type="dxa"/>
            <w:vMerge/>
            <w:tcBorders>
              <w:top w:val="nil"/>
              <w:left w:val="single" w:sz="4" w:space="0" w:color="auto"/>
              <w:bottom w:val="single" w:sz="4" w:space="0" w:color="auto"/>
              <w:right w:val="single" w:sz="4" w:space="0" w:color="auto"/>
            </w:tcBorders>
            <w:vAlign w:val="center"/>
            <w:hideMark/>
          </w:tcPr>
          <w:p w14:paraId="6F17C651" w14:textId="77777777" w:rsidR="00AE3BB7" w:rsidRPr="000C456A" w:rsidRDefault="00AE3BB7" w:rsidP="000C456A">
            <w:pPr>
              <w:spacing w:after="0" w:line="240" w:lineRule="auto"/>
              <w:rPr>
                <w:rFonts w:ascii="Calibri" w:eastAsia="Times New Roman" w:hAnsi="Calibri" w:cs="Calibri"/>
                <w:color w:val="000000"/>
              </w:rPr>
            </w:pPr>
          </w:p>
        </w:tc>
        <w:tc>
          <w:tcPr>
            <w:tcW w:w="1318" w:type="dxa"/>
            <w:vMerge/>
            <w:tcBorders>
              <w:top w:val="nil"/>
              <w:left w:val="single" w:sz="4" w:space="0" w:color="auto"/>
              <w:bottom w:val="single" w:sz="4" w:space="0" w:color="auto"/>
              <w:right w:val="single" w:sz="4" w:space="0" w:color="auto"/>
            </w:tcBorders>
            <w:vAlign w:val="center"/>
            <w:hideMark/>
          </w:tcPr>
          <w:p w14:paraId="7E20064F" w14:textId="77777777" w:rsidR="00AE3BB7" w:rsidRPr="000C456A" w:rsidRDefault="00AE3BB7" w:rsidP="000C456A">
            <w:pPr>
              <w:spacing w:after="0" w:line="240" w:lineRule="auto"/>
              <w:rPr>
                <w:rFonts w:ascii="Calibri" w:eastAsia="Times New Roman" w:hAnsi="Calibri" w:cs="Calibri"/>
                <w:color w:val="000000"/>
              </w:rPr>
            </w:pPr>
          </w:p>
        </w:tc>
        <w:tc>
          <w:tcPr>
            <w:tcW w:w="2696" w:type="dxa"/>
            <w:vMerge/>
            <w:tcBorders>
              <w:top w:val="nil"/>
              <w:left w:val="single" w:sz="4" w:space="0" w:color="auto"/>
              <w:bottom w:val="single" w:sz="4" w:space="0" w:color="auto"/>
              <w:right w:val="single" w:sz="4" w:space="0" w:color="auto"/>
            </w:tcBorders>
            <w:vAlign w:val="center"/>
            <w:hideMark/>
          </w:tcPr>
          <w:p w14:paraId="2D9F12B1" w14:textId="77777777" w:rsidR="00AE3BB7" w:rsidRPr="000C456A" w:rsidRDefault="00AE3BB7" w:rsidP="000C456A">
            <w:pPr>
              <w:spacing w:after="0" w:line="240" w:lineRule="auto"/>
              <w:rPr>
                <w:rFonts w:ascii="Calibri" w:eastAsia="Times New Roman" w:hAnsi="Calibri" w:cs="Calibri"/>
                <w:color w:val="000000"/>
              </w:rPr>
            </w:pPr>
          </w:p>
        </w:tc>
        <w:tc>
          <w:tcPr>
            <w:tcW w:w="1803" w:type="dxa"/>
            <w:vMerge/>
            <w:tcBorders>
              <w:top w:val="nil"/>
              <w:left w:val="single" w:sz="4" w:space="0" w:color="auto"/>
              <w:bottom w:val="single" w:sz="4" w:space="0" w:color="auto"/>
              <w:right w:val="single" w:sz="4" w:space="0" w:color="auto"/>
            </w:tcBorders>
            <w:vAlign w:val="center"/>
            <w:hideMark/>
          </w:tcPr>
          <w:p w14:paraId="4A9CCBDE" w14:textId="77777777" w:rsidR="00AE3BB7" w:rsidRPr="000C456A" w:rsidRDefault="00AE3BB7" w:rsidP="000C456A">
            <w:pPr>
              <w:spacing w:after="0" w:line="240" w:lineRule="auto"/>
              <w:rPr>
                <w:rFonts w:ascii="Calibri" w:eastAsia="Times New Roman" w:hAnsi="Calibri" w:cs="Calibri"/>
                <w:color w:val="000000"/>
              </w:rPr>
            </w:pPr>
          </w:p>
        </w:tc>
        <w:tc>
          <w:tcPr>
            <w:tcW w:w="1924" w:type="dxa"/>
            <w:vMerge/>
            <w:tcBorders>
              <w:left w:val="single" w:sz="4" w:space="0" w:color="auto"/>
              <w:bottom w:val="single" w:sz="4" w:space="0" w:color="auto"/>
              <w:right w:val="single" w:sz="4" w:space="0" w:color="auto"/>
            </w:tcBorders>
          </w:tcPr>
          <w:p w14:paraId="14FBAB7C" w14:textId="77777777" w:rsidR="00AE3BB7" w:rsidRPr="000C456A" w:rsidRDefault="00AE3BB7" w:rsidP="000C456A">
            <w:pPr>
              <w:spacing w:after="0" w:line="240" w:lineRule="auto"/>
              <w:rPr>
                <w:rFonts w:ascii="Calibri" w:eastAsia="Times New Roman" w:hAnsi="Calibri" w:cs="Calibri"/>
                <w:color w:val="000000"/>
              </w:rPr>
            </w:pPr>
          </w:p>
        </w:tc>
      </w:tr>
      <w:tr w:rsidR="00AE3BB7" w:rsidRPr="000C456A" w14:paraId="46DE6B8A" w14:textId="15EE650E" w:rsidTr="000D79A2">
        <w:trPr>
          <w:trHeight w:val="285"/>
          <w:jc w:val="center"/>
          <w:cantSplit/>
        </w:trPr>
        <w:tc>
          <w:tcPr>
            <w:tcW w:w="1902" w:type="dxa"/>
            <w:tcBorders>
              <w:top w:val="nil"/>
              <w:left w:val="single" w:sz="4" w:space="0" w:color="auto"/>
              <w:bottom w:val="single" w:sz="4" w:space="0" w:color="auto"/>
              <w:right w:val="single" w:sz="4" w:space="0" w:color="auto"/>
            </w:tcBorders>
            <w:vAlign w:val="center"/>
            <w:hideMark/>
          </w:tcPr>
          <w:p>
            <w:r>
              <w:t>Stage 2</w:t>
            </w:r>
          </w:p>
        </w:tc>
        <w:tc>
          <w:tcPr>
            <w:tcW w:w="831" w:type="dxa"/>
            <w:vMerge w:val="restart"/>
            <w:tcBorders>
              <w:top w:val="nil"/>
              <w:left w:val="single" w:sz="4" w:space="0" w:color="auto"/>
              <w:bottom w:val="single" w:sz="4" w:space="0" w:color="auto"/>
              <w:right w:val="single" w:sz="4" w:space="0" w:color="auto"/>
            </w:tcBorders>
            <w:vAlign w:val="center"/>
            <w:hideMark/>
          </w:tcPr>
          <w:p>
            <w:r>
              <w:t>4</w:t>
            </w:r>
          </w:p>
        </w:tc>
        <w:tc>
          <w:tcPr>
            <w:tcW w:w="3020" w:type="dxa"/>
            <w:vMerge w:val="restart"/>
            <w:tcBorders>
              <w:top w:val="nil"/>
              <w:left w:val="single" w:sz="4" w:space="0" w:color="auto"/>
              <w:bottom w:val="single" w:sz="4" w:space="0" w:color="auto"/>
              <w:right w:val="single" w:sz="4" w:space="0" w:color="auto"/>
            </w:tcBorders>
            <w:vAlign w:val="center"/>
            <w:hideMark/>
          </w:tcPr>
          <w:p>
            <w:r>
              <w:t>Review URS / RFP documents</w:t>
            </w:r>
          </w:p>
        </w:tc>
        <w:tc>
          <w:tcPr>
            <w:tcW w:w="1318" w:type="dxa"/>
            <w:vMerge w:val="restart"/>
            <w:tcBorders>
              <w:top w:val="nil"/>
              <w:left w:val="single" w:sz="4" w:space="0" w:color="auto"/>
              <w:bottom w:val="single" w:sz="4" w:space="0" w:color="auto"/>
              <w:right w:val="single" w:sz="4" w:space="0" w:color="auto"/>
            </w:tcBorders>
            <w:vAlign w:val="center"/>
            <w:hideMark/>
          </w:tcPr>
          <w:p>
            <w:r>
              <w:t>Consulting Firm</w:t>
            </w:r>
          </w:p>
        </w:tc>
        <w:tc>
          <w:tcPr>
            <w:tcW w:w="2696" w:type="dxa"/>
            <w:vMerge w:val="restart"/>
            <w:tcBorders>
              <w:top w:val="nil"/>
              <w:left w:val="single" w:sz="4" w:space="0" w:color="auto"/>
              <w:bottom w:val="single" w:sz="4" w:space="0" w:color="auto"/>
              <w:right w:val="single" w:sz="4" w:space="0" w:color="auto"/>
            </w:tcBorders>
            <w:vAlign w:val="center"/>
            <w:hideMark/>
          </w:tcPr>
          <w:p>
            <w:r>
              <w:t>Initial Review</w:t>
            </w:r>
          </w:p>
        </w:tc>
        <w:tc>
          <w:tcPr>
            <w:tcW w:w="1803" w:type="dxa"/>
            <w:vMerge w:val="restart"/>
            <w:tcBorders>
              <w:top w:val="nil"/>
              <w:left w:val="single" w:sz="4" w:space="0" w:color="auto"/>
              <w:bottom w:val="single" w:sz="4" w:space="0" w:color="auto"/>
              <w:right w:val="single" w:sz="4" w:space="0" w:color="auto"/>
            </w:tcBorders>
            <w:vAlign w:val="center"/>
            <w:hideMark/>
          </w:tcPr>
          <w:p>
            <w:r>
              <w:t>18–25 Aug 2026</w:t>
            </w:r>
          </w:p>
        </w:tc>
        <w:tc>
          <w:tcPr>
            <w:tcW w:w="1924" w:type="dxa"/>
            <w:vMerge w:val="restart"/>
            <w:tcBorders>
              <w:top w:val="nil"/>
              <w:left w:val="single" w:sz="4" w:space="0" w:color="auto"/>
              <w:right w:val="single" w:sz="4" w:space="0" w:color="auto"/>
            </w:tcBorders>
          </w:tcPr>
          <w:p>
            <w:r/>
          </w:p>
        </w:tc>
      </w:tr>
      <w:tr w:rsidR="00AE3BB7" w:rsidRPr="000C456A" w14:paraId="2CE829CF" w14:textId="34581CB2" w:rsidTr="000D79A2">
        <w:trPr>
          <w:trHeight w:val="285"/>
          <w:jc w:val="center"/>
          <w:cantSplit/>
        </w:trPr>
        <w:tc>
          <w:tcPr>
            <w:tcW w:w="1902" w:type="dxa"/>
            <w:tcBorders>
              <w:top w:val="nil"/>
              <w:left w:val="single" w:sz="4" w:space="0" w:color="auto"/>
              <w:bottom w:val="single" w:sz="4" w:space="0" w:color="auto"/>
              <w:right w:val="single" w:sz="4" w:space="0" w:color="auto"/>
            </w:tcBorders>
            <w:vAlign w:val="center"/>
            <w:hideMark/>
          </w:tcPr>
          <w:p>
            <w:r>
              <w:t>Technical Dialogue</w:t>
            </w:r>
          </w:p>
        </w:tc>
        <w:tc>
          <w:tcPr>
            <w:tcW w:w="831" w:type="dxa"/>
            <w:vMerge/>
            <w:tcBorders>
              <w:top w:val="nil"/>
              <w:left w:val="single" w:sz="4" w:space="0" w:color="auto"/>
              <w:bottom w:val="single" w:sz="4" w:space="0" w:color="auto"/>
              <w:right w:val="single" w:sz="4" w:space="0" w:color="auto"/>
            </w:tcBorders>
            <w:vAlign w:val="center"/>
            <w:hideMark/>
          </w:tcPr>
          <w:p w14:paraId="1F478D6A" w14:textId="77777777" w:rsidR="00AE3BB7" w:rsidRPr="000C456A" w:rsidRDefault="00AE3BB7" w:rsidP="000C456A">
            <w:pPr>
              <w:spacing w:after="0" w:line="240" w:lineRule="auto"/>
              <w:rPr>
                <w:rFonts w:ascii="Calibri" w:eastAsia="Times New Roman" w:hAnsi="Calibri" w:cs="Calibri"/>
                <w:color w:val="000000"/>
              </w:rPr>
            </w:pPr>
          </w:p>
        </w:tc>
        <w:tc>
          <w:tcPr>
            <w:tcW w:w="3020" w:type="dxa"/>
            <w:vMerge/>
            <w:tcBorders>
              <w:top w:val="nil"/>
              <w:left w:val="single" w:sz="4" w:space="0" w:color="auto"/>
              <w:bottom w:val="single" w:sz="4" w:space="0" w:color="auto"/>
              <w:right w:val="single" w:sz="4" w:space="0" w:color="auto"/>
            </w:tcBorders>
            <w:vAlign w:val="center"/>
            <w:hideMark/>
          </w:tcPr>
          <w:p w14:paraId="1708EB16" w14:textId="77777777" w:rsidR="00AE3BB7" w:rsidRPr="000C456A" w:rsidRDefault="00AE3BB7" w:rsidP="000C456A">
            <w:pPr>
              <w:spacing w:after="0" w:line="240" w:lineRule="auto"/>
              <w:rPr>
                <w:rFonts w:ascii="Calibri" w:eastAsia="Times New Roman" w:hAnsi="Calibri" w:cs="Calibri"/>
                <w:color w:val="000000"/>
              </w:rPr>
            </w:pPr>
          </w:p>
        </w:tc>
        <w:tc>
          <w:tcPr>
            <w:tcW w:w="1318" w:type="dxa"/>
            <w:vMerge/>
            <w:tcBorders>
              <w:top w:val="nil"/>
              <w:left w:val="single" w:sz="4" w:space="0" w:color="auto"/>
              <w:bottom w:val="single" w:sz="4" w:space="0" w:color="auto"/>
              <w:right w:val="single" w:sz="4" w:space="0" w:color="auto"/>
            </w:tcBorders>
            <w:vAlign w:val="center"/>
            <w:hideMark/>
          </w:tcPr>
          <w:p w14:paraId="4C2F5AB9" w14:textId="77777777" w:rsidR="00AE3BB7" w:rsidRPr="000C456A" w:rsidRDefault="00AE3BB7" w:rsidP="000C456A">
            <w:pPr>
              <w:spacing w:after="0" w:line="240" w:lineRule="auto"/>
              <w:rPr>
                <w:rFonts w:ascii="Calibri" w:eastAsia="Times New Roman" w:hAnsi="Calibri" w:cs="Calibri"/>
                <w:color w:val="000000"/>
              </w:rPr>
            </w:pPr>
          </w:p>
        </w:tc>
        <w:tc>
          <w:tcPr>
            <w:tcW w:w="2696" w:type="dxa"/>
            <w:vMerge/>
            <w:tcBorders>
              <w:top w:val="nil"/>
              <w:left w:val="single" w:sz="4" w:space="0" w:color="auto"/>
              <w:bottom w:val="single" w:sz="4" w:space="0" w:color="auto"/>
              <w:right w:val="single" w:sz="4" w:space="0" w:color="auto"/>
            </w:tcBorders>
            <w:vAlign w:val="center"/>
            <w:hideMark/>
          </w:tcPr>
          <w:p w14:paraId="4FB839BB" w14:textId="77777777" w:rsidR="00AE3BB7" w:rsidRPr="000C456A" w:rsidRDefault="00AE3BB7" w:rsidP="000C456A">
            <w:pPr>
              <w:spacing w:after="0" w:line="240" w:lineRule="auto"/>
              <w:rPr>
                <w:rFonts w:ascii="Calibri" w:eastAsia="Times New Roman" w:hAnsi="Calibri" w:cs="Calibri"/>
                <w:color w:val="000000"/>
              </w:rPr>
            </w:pPr>
          </w:p>
        </w:tc>
        <w:tc>
          <w:tcPr>
            <w:tcW w:w="1803" w:type="dxa"/>
            <w:vMerge/>
            <w:tcBorders>
              <w:top w:val="nil"/>
              <w:left w:val="single" w:sz="4" w:space="0" w:color="auto"/>
              <w:bottom w:val="single" w:sz="4" w:space="0" w:color="auto"/>
              <w:right w:val="single" w:sz="4" w:space="0" w:color="auto"/>
            </w:tcBorders>
            <w:vAlign w:val="center"/>
            <w:hideMark/>
          </w:tcPr>
          <w:p w14:paraId="698BA28F" w14:textId="77777777" w:rsidR="00AE3BB7" w:rsidRPr="000C456A" w:rsidRDefault="00AE3BB7" w:rsidP="000C456A">
            <w:pPr>
              <w:spacing w:after="0" w:line="240" w:lineRule="auto"/>
              <w:rPr>
                <w:rFonts w:ascii="Calibri" w:eastAsia="Times New Roman" w:hAnsi="Calibri" w:cs="Calibri"/>
                <w:color w:val="000000"/>
              </w:rPr>
            </w:pPr>
          </w:p>
        </w:tc>
        <w:tc>
          <w:tcPr>
            <w:tcW w:w="1924" w:type="dxa"/>
            <w:vMerge/>
            <w:tcBorders>
              <w:left w:val="single" w:sz="4" w:space="0" w:color="auto"/>
              <w:bottom w:val="single" w:sz="4" w:space="0" w:color="auto"/>
              <w:right w:val="single" w:sz="4" w:space="0" w:color="auto"/>
            </w:tcBorders>
          </w:tcPr>
          <w:p w14:paraId="33519A87" w14:textId="77777777" w:rsidR="00AE3BB7" w:rsidRPr="000C456A" w:rsidRDefault="00AE3BB7" w:rsidP="000C456A">
            <w:pPr>
              <w:spacing w:after="0" w:line="240" w:lineRule="auto"/>
              <w:rPr>
                <w:rFonts w:ascii="Calibri" w:eastAsia="Times New Roman" w:hAnsi="Calibri" w:cs="Calibri"/>
                <w:color w:val="000000"/>
              </w:rPr>
            </w:pPr>
          </w:p>
        </w:tc>
      </w:tr>
      <w:tr w:rsidR="00AE3BB7" w:rsidRPr="000C456A" w14:paraId="49F5A6D3" w14:textId="5CA1F9EB" w:rsidTr="000D79A2">
        <w:trPr>
          <w:trHeight w:val="570"/>
          <w:jc w:val="center"/>
          <w:cantSplit/>
        </w:trPr>
        <w:tc>
          <w:tcPr>
            <w:tcW w:w="1902" w:type="dxa"/>
            <w:tcBorders>
              <w:top w:val="nil"/>
              <w:left w:val="single" w:sz="4" w:space="0" w:color="auto"/>
              <w:bottom w:val="single" w:sz="4" w:space="0" w:color="auto"/>
              <w:right w:val="single" w:sz="4" w:space="0" w:color="auto"/>
            </w:tcBorders>
            <w:vAlign w:val="center"/>
            <w:hideMark/>
          </w:tcPr>
          <w:p>
            <w:r/>
          </w:p>
        </w:tc>
        <w:tc>
          <w:tcPr>
            <w:tcW w:w="831" w:type="dxa"/>
            <w:tcBorders>
              <w:top w:val="nil"/>
              <w:left w:val="nil"/>
              <w:bottom w:val="single" w:sz="4" w:space="0" w:color="auto"/>
              <w:right w:val="single" w:sz="4" w:space="0" w:color="auto"/>
            </w:tcBorders>
            <w:vAlign w:val="center"/>
            <w:hideMark/>
          </w:tcPr>
          <w:p>
            <w:r>
              <w:t>5</w:t>
            </w:r>
          </w:p>
        </w:tc>
        <w:tc>
          <w:tcPr>
            <w:tcW w:w="3020" w:type="dxa"/>
            <w:tcBorders>
              <w:top w:val="nil"/>
              <w:left w:val="nil"/>
              <w:bottom w:val="single" w:sz="4" w:space="0" w:color="auto"/>
              <w:right w:val="single" w:sz="4" w:space="0" w:color="auto"/>
            </w:tcBorders>
            <w:vAlign w:val="center"/>
            <w:hideMark/>
          </w:tcPr>
          <w:p>
            <w:r>
              <w:t>Site visit / technical presentation (if required)</w:t>
            </w:r>
          </w:p>
        </w:tc>
        <w:tc>
          <w:tcPr>
            <w:tcW w:w="1318" w:type="dxa"/>
            <w:tcBorders>
              <w:top w:val="nil"/>
              <w:left w:val="nil"/>
              <w:bottom w:val="single" w:sz="4" w:space="0" w:color="auto"/>
              <w:right w:val="single" w:sz="4" w:space="0" w:color="auto"/>
            </w:tcBorders>
            <w:vAlign w:val="center"/>
            <w:hideMark/>
          </w:tcPr>
          <w:p>
            <w:r>
              <w:t>Both Parties</w:t>
            </w:r>
          </w:p>
        </w:tc>
        <w:tc>
          <w:tcPr>
            <w:tcW w:w="2696" w:type="dxa"/>
            <w:tcBorders>
              <w:top w:val="nil"/>
              <w:left w:val="nil"/>
              <w:bottom w:val="single" w:sz="4" w:space="0" w:color="auto"/>
              <w:right w:val="single" w:sz="4" w:space="0" w:color="auto"/>
            </w:tcBorders>
            <w:vAlign w:val="center"/>
            <w:hideMark/>
          </w:tcPr>
          <w:p>
            <w:r>
              <w:t>Site / Presentation Record</w:t>
            </w:r>
          </w:p>
        </w:tc>
        <w:tc>
          <w:tcPr>
            <w:tcW w:w="1803" w:type="dxa"/>
            <w:tcBorders>
              <w:top w:val="nil"/>
              <w:left w:val="nil"/>
              <w:bottom w:val="single" w:sz="4" w:space="0" w:color="auto"/>
              <w:right w:val="single" w:sz="4" w:space="0" w:color="auto"/>
            </w:tcBorders>
            <w:vAlign w:val="center"/>
            <w:hideMark/>
          </w:tcPr>
          <w:p>
            <w:r>
              <w:t>18–25 Aug 2026</w:t>
            </w:r>
          </w:p>
        </w:tc>
        <w:tc>
          <w:tcPr>
            <w:tcW w:w="1924" w:type="dxa"/>
            <w:tcBorders>
              <w:top w:val="nil"/>
              <w:left w:val="nil"/>
              <w:bottom w:val="single" w:sz="4" w:space="0" w:color="auto"/>
              <w:right w:val="single" w:sz="4" w:space="0" w:color="auto"/>
            </w:tcBorders>
          </w:tcPr>
          <w:p>
            <w:r/>
          </w:p>
        </w:tc>
      </w:tr>
      <w:tr w:rsidR="00AE3BB7" w:rsidRPr="000C456A" w14:paraId="1D90E7F1" w14:textId="37293F3C" w:rsidTr="000D79A2">
        <w:trPr>
          <w:trHeight w:val="570"/>
          <w:jc w:val="center"/>
          <w:cantSplit/>
        </w:trPr>
        <w:tc>
          <w:tcPr>
            <w:tcW w:w="1902" w:type="dxa"/>
            <w:tcBorders>
              <w:top w:val="nil"/>
              <w:left w:val="single" w:sz="4" w:space="0" w:color="auto"/>
              <w:bottom w:val="single" w:sz="4" w:space="0" w:color="auto"/>
              <w:right w:val="single" w:sz="4" w:space="0" w:color="auto"/>
            </w:tcBorders>
            <w:vAlign w:val="center"/>
            <w:hideMark/>
          </w:tcPr>
          <w:p>
            <w:r/>
          </w:p>
        </w:tc>
        <w:tc>
          <w:tcPr>
            <w:tcW w:w="831" w:type="dxa"/>
            <w:tcBorders>
              <w:top w:val="nil"/>
              <w:left w:val="nil"/>
              <w:bottom w:val="single" w:sz="4" w:space="0" w:color="auto"/>
              <w:right w:val="single" w:sz="4" w:space="0" w:color="auto"/>
            </w:tcBorders>
            <w:vAlign w:val="center"/>
            <w:hideMark/>
          </w:tcPr>
          <w:p>
            <w:r>
              <w:t>6</w:t>
            </w:r>
          </w:p>
        </w:tc>
        <w:tc>
          <w:tcPr>
            <w:tcW w:w="3020" w:type="dxa"/>
            <w:tcBorders>
              <w:top w:val="nil"/>
              <w:left w:val="nil"/>
              <w:bottom w:val="single" w:sz="4" w:space="0" w:color="auto"/>
              <w:right w:val="single" w:sz="4" w:space="0" w:color="auto"/>
            </w:tcBorders>
            <w:vAlign w:val="center"/>
            <w:hideMark/>
          </w:tcPr>
          <w:p>
            <w:r>
              <w:t>Technical discussions and clarification meetings</w:t>
            </w:r>
          </w:p>
        </w:tc>
        <w:tc>
          <w:tcPr>
            <w:tcW w:w="1318" w:type="dxa"/>
            <w:tcBorders>
              <w:top w:val="nil"/>
              <w:left w:val="nil"/>
              <w:bottom w:val="single" w:sz="4" w:space="0" w:color="auto"/>
              <w:right w:val="single" w:sz="4" w:space="0" w:color="auto"/>
            </w:tcBorders>
            <w:vAlign w:val="center"/>
            <w:hideMark/>
          </w:tcPr>
          <w:p>
            <w:r>
              <w:t>Both Parties</w:t>
            </w:r>
          </w:p>
        </w:tc>
        <w:tc>
          <w:tcPr>
            <w:tcW w:w="2696" w:type="dxa"/>
            <w:tcBorders>
              <w:top w:val="nil"/>
              <w:left w:val="nil"/>
              <w:bottom w:val="single" w:sz="4" w:space="0" w:color="auto"/>
              <w:right w:val="single" w:sz="4" w:space="0" w:color="auto"/>
            </w:tcBorders>
            <w:vAlign w:val="center"/>
            <w:hideMark/>
          </w:tcPr>
          <w:p>
            <w:r>
              <w:t>Clarification Records</w:t>
            </w:r>
          </w:p>
        </w:tc>
        <w:tc>
          <w:tcPr>
            <w:tcW w:w="1803" w:type="dxa"/>
            <w:tcBorders>
              <w:top w:val="nil"/>
              <w:left w:val="nil"/>
              <w:bottom w:val="single" w:sz="4" w:space="0" w:color="auto"/>
              <w:right w:val="single" w:sz="4" w:space="0" w:color="auto"/>
            </w:tcBorders>
            <w:vAlign w:val="center"/>
            <w:hideMark/>
          </w:tcPr>
          <w:p>
            <w:r>
              <w:t>18–25 Aug 2026</w:t>
            </w:r>
          </w:p>
        </w:tc>
        <w:tc>
          <w:tcPr>
            <w:tcW w:w="1924" w:type="dxa"/>
            <w:tcBorders>
              <w:top w:val="nil"/>
              <w:left w:val="nil"/>
              <w:bottom w:val="single" w:sz="4" w:space="0" w:color="auto"/>
              <w:right w:val="single" w:sz="4" w:space="0" w:color="auto"/>
            </w:tcBorders>
          </w:tcPr>
          <w:p>
            <w:r/>
          </w:p>
        </w:tc>
      </w:tr>
      <w:tr w:rsidR="00AE3BB7" w:rsidRPr="000C456A" w14:paraId="6D935845" w14:textId="73EF505E" w:rsidTr="000D79A2">
        <w:trPr>
          <w:trHeight w:val="570"/>
          <w:jc w:val="center"/>
          <w:cantSplit/>
        </w:trPr>
        <w:tc>
          <w:tcPr>
            <w:tcW w:w="1902" w:type="dxa"/>
            <w:tcBorders>
              <w:top w:val="nil"/>
              <w:left w:val="single" w:sz="4" w:space="0" w:color="auto"/>
              <w:bottom w:val="single" w:sz="4" w:space="0" w:color="auto"/>
              <w:right w:val="single" w:sz="4" w:space="0" w:color="auto"/>
            </w:tcBorders>
            <w:vAlign w:val="center"/>
            <w:hideMark/>
          </w:tcPr>
          <w:p>
            <w:r/>
          </w:p>
        </w:tc>
        <w:tc>
          <w:tcPr>
            <w:tcW w:w="831" w:type="dxa"/>
            <w:tcBorders>
              <w:top w:val="nil"/>
              <w:left w:val="nil"/>
              <w:bottom w:val="single" w:sz="4" w:space="0" w:color="auto"/>
              <w:right w:val="single" w:sz="4" w:space="0" w:color="auto"/>
            </w:tcBorders>
            <w:vAlign w:val="center"/>
            <w:hideMark/>
          </w:tcPr>
          <w:p>
            <w:r>
              <w:t>7</w:t>
            </w:r>
          </w:p>
        </w:tc>
        <w:tc>
          <w:tcPr>
            <w:tcW w:w="3020" w:type="dxa"/>
            <w:tcBorders>
              <w:top w:val="nil"/>
              <w:left w:val="nil"/>
              <w:bottom w:val="single" w:sz="4" w:space="0" w:color="auto"/>
              <w:right w:val="single" w:sz="4" w:space="0" w:color="auto"/>
            </w:tcBorders>
            <w:vAlign w:val="center"/>
            <w:hideMark/>
          </w:tcPr>
          <w:p>
            <w:r>
              <w:t>Consultant presentation / clarification responses</w:t>
            </w:r>
          </w:p>
        </w:tc>
        <w:tc>
          <w:tcPr>
            <w:tcW w:w="1318" w:type="dxa"/>
            <w:tcBorders>
              <w:top w:val="nil"/>
              <w:left w:val="nil"/>
              <w:bottom w:val="single" w:sz="4" w:space="0" w:color="auto"/>
              <w:right w:val="single" w:sz="4" w:space="0" w:color="auto"/>
            </w:tcBorders>
            <w:vAlign w:val="center"/>
            <w:hideMark/>
          </w:tcPr>
          <w:p>
            <w:r>
              <w:t>Consulting Firm</w:t>
            </w:r>
          </w:p>
        </w:tc>
        <w:tc>
          <w:tcPr>
            <w:tcW w:w="2696" w:type="dxa"/>
            <w:tcBorders>
              <w:top w:val="nil"/>
              <w:left w:val="nil"/>
              <w:bottom w:val="single" w:sz="4" w:space="0" w:color="auto"/>
              <w:right w:val="single" w:sz="4" w:space="0" w:color="auto"/>
            </w:tcBorders>
            <w:vAlign w:val="center"/>
            <w:hideMark/>
          </w:tcPr>
          <w:p>
            <w:r>
              <w:t>Technical Inputs</w:t>
            </w:r>
          </w:p>
        </w:tc>
        <w:tc>
          <w:tcPr>
            <w:tcW w:w="1803" w:type="dxa"/>
            <w:tcBorders>
              <w:top w:val="nil"/>
              <w:left w:val="nil"/>
              <w:bottom w:val="single" w:sz="4" w:space="0" w:color="auto"/>
              <w:right w:val="single" w:sz="4" w:space="0" w:color="auto"/>
            </w:tcBorders>
            <w:vAlign w:val="center"/>
            <w:hideMark/>
          </w:tcPr>
          <w:p>
            <w:r>
              <w:t>18–25 Aug 2026</w:t>
            </w:r>
          </w:p>
        </w:tc>
        <w:tc>
          <w:tcPr>
            <w:tcW w:w="1924" w:type="dxa"/>
            <w:tcBorders>
              <w:top w:val="nil"/>
              <w:left w:val="nil"/>
              <w:bottom w:val="single" w:sz="4" w:space="0" w:color="auto"/>
              <w:right w:val="single" w:sz="4" w:space="0" w:color="auto"/>
            </w:tcBorders>
          </w:tcPr>
          <w:p>
            <w:r/>
          </w:p>
        </w:tc>
      </w:tr>
      <w:tr w:rsidR="00AE3BB7" w:rsidRPr="000C456A" w14:paraId="147B81C1" w14:textId="5BA179AB" w:rsidTr="000D79A2">
        <w:trPr>
          <w:trHeight w:val="285"/>
          <w:jc w:val="center"/>
          <w:cantSplit/>
        </w:trPr>
        <w:tc>
          <w:tcPr>
            <w:tcW w:w="1902" w:type="dxa"/>
            <w:tcBorders>
              <w:top w:val="nil"/>
              <w:left w:val="single" w:sz="4" w:space="0" w:color="auto"/>
              <w:bottom w:val="single" w:sz="4" w:space="0" w:color="auto"/>
              <w:right w:val="single" w:sz="4" w:space="0" w:color="auto"/>
            </w:tcBorders>
            <w:vAlign w:val="center"/>
            <w:hideMark/>
          </w:tcPr>
          <w:p>
            <w:r>
              <w:t>Stage 2</w:t>
            </w:r>
          </w:p>
        </w:tc>
        <w:tc>
          <w:tcPr>
            <w:tcW w:w="831" w:type="dxa"/>
            <w:vMerge w:val="restart"/>
            <w:tcBorders>
              <w:top w:val="nil"/>
              <w:left w:val="single" w:sz="4" w:space="0" w:color="auto"/>
              <w:bottom w:val="single" w:sz="4" w:space="0" w:color="auto"/>
              <w:right w:val="single" w:sz="4" w:space="0" w:color="auto"/>
            </w:tcBorders>
            <w:vAlign w:val="center"/>
            <w:hideMark/>
          </w:tcPr>
          <w:p>
            <w:r>
              <w:t>8</w:t>
            </w:r>
          </w:p>
        </w:tc>
        <w:tc>
          <w:tcPr>
            <w:tcW w:w="3020" w:type="dxa"/>
            <w:vMerge w:val="restart"/>
            <w:tcBorders>
              <w:top w:val="nil"/>
              <w:left w:val="single" w:sz="4" w:space="0" w:color="auto"/>
              <w:bottom w:val="single" w:sz="4" w:space="0" w:color="auto"/>
              <w:right w:val="single" w:sz="4" w:space="0" w:color="auto"/>
            </w:tcBorders>
            <w:vAlign w:val="center"/>
            <w:hideMark/>
          </w:tcPr>
          <w:p>
            <w:r>
              <w:t>Bidiphar issues clarification responses</w:t>
            </w:r>
          </w:p>
        </w:tc>
        <w:tc>
          <w:tcPr>
            <w:tcW w:w="1318" w:type="dxa"/>
            <w:vMerge w:val="restart"/>
            <w:tcBorders>
              <w:top w:val="nil"/>
              <w:left w:val="single" w:sz="4" w:space="0" w:color="auto"/>
              <w:bottom w:val="single" w:sz="4" w:space="0" w:color="auto"/>
              <w:right w:val="single" w:sz="4" w:space="0" w:color="auto"/>
            </w:tcBorders>
            <w:vAlign w:val="center"/>
            <w:hideMark/>
          </w:tcPr>
          <w:p>
            <w:r>
              <w:t>Bidiphar</w:t>
            </w:r>
          </w:p>
        </w:tc>
        <w:tc>
          <w:tcPr>
            <w:tcW w:w="2696" w:type="dxa"/>
            <w:vMerge w:val="restart"/>
            <w:tcBorders>
              <w:top w:val="nil"/>
              <w:left w:val="single" w:sz="4" w:space="0" w:color="auto"/>
              <w:bottom w:val="single" w:sz="4" w:space="0" w:color="auto"/>
              <w:right w:val="single" w:sz="4" w:space="0" w:color="auto"/>
            </w:tcBorders>
            <w:vAlign w:val="center"/>
            <w:hideMark/>
          </w:tcPr>
          <w:p>
            <w:r>
              <w:t>Clarification Response</w:t>
            </w:r>
          </w:p>
        </w:tc>
        <w:tc>
          <w:tcPr>
            <w:tcW w:w="1803" w:type="dxa"/>
            <w:vMerge w:val="restart"/>
            <w:tcBorders>
              <w:top w:val="nil"/>
              <w:left w:val="single" w:sz="4" w:space="0" w:color="auto"/>
              <w:bottom w:val="single" w:sz="4" w:space="0" w:color="auto"/>
              <w:right w:val="single" w:sz="4" w:space="0" w:color="auto"/>
            </w:tcBorders>
            <w:vAlign w:val="center"/>
            <w:hideMark/>
          </w:tcPr>
          <w:p>
            <w:r>
              <w:t>18–25 Aug 2026</w:t>
            </w:r>
          </w:p>
        </w:tc>
        <w:tc>
          <w:tcPr>
            <w:tcW w:w="1924" w:type="dxa"/>
            <w:vMerge w:val="restart"/>
            <w:tcBorders>
              <w:top w:val="nil"/>
              <w:left w:val="single" w:sz="4" w:space="0" w:color="auto"/>
              <w:right w:val="single" w:sz="4" w:space="0" w:color="auto"/>
            </w:tcBorders>
          </w:tcPr>
          <w:p>
            <w:r/>
          </w:p>
        </w:tc>
      </w:tr>
      <w:tr w:rsidR="00AE3BB7" w:rsidRPr="000C456A" w14:paraId="1D179E58" w14:textId="1FD0E76D" w:rsidTr="000D79A2">
        <w:trPr>
          <w:trHeight w:val="248"/>
          <w:jc w:val="center"/>
          <w:cantSplit/>
        </w:trPr>
        <w:tc>
          <w:tcPr>
            <w:tcW w:w="1902" w:type="dxa"/>
            <w:tcBorders>
              <w:top w:val="nil"/>
              <w:left w:val="single" w:sz="4" w:space="0" w:color="auto"/>
              <w:bottom w:val="single" w:sz="4" w:space="0" w:color="auto"/>
              <w:right w:val="single" w:sz="4" w:space="0" w:color="auto"/>
            </w:tcBorders>
            <w:vAlign w:val="center"/>
            <w:hideMark/>
          </w:tcPr>
          <w:p>
            <w:r>
              <w:t>Proposal Preparation</w:t>
            </w:r>
          </w:p>
        </w:tc>
        <w:tc>
          <w:tcPr>
            <w:tcW w:w="831" w:type="dxa"/>
            <w:vMerge/>
            <w:tcBorders>
              <w:top w:val="nil"/>
              <w:left w:val="single" w:sz="4" w:space="0" w:color="auto"/>
              <w:bottom w:val="single" w:sz="4" w:space="0" w:color="auto"/>
              <w:right w:val="single" w:sz="4" w:space="0" w:color="auto"/>
            </w:tcBorders>
            <w:vAlign w:val="center"/>
            <w:hideMark/>
          </w:tcPr>
          <w:p w14:paraId="2900564F" w14:textId="77777777" w:rsidR="00AE3BB7" w:rsidRPr="000C456A" w:rsidRDefault="00AE3BB7" w:rsidP="000C456A">
            <w:pPr>
              <w:spacing w:after="0" w:line="240" w:lineRule="auto"/>
              <w:rPr>
                <w:rFonts w:ascii="Calibri" w:eastAsia="Times New Roman" w:hAnsi="Calibri" w:cs="Calibri"/>
                <w:color w:val="000000"/>
              </w:rPr>
            </w:pPr>
          </w:p>
        </w:tc>
        <w:tc>
          <w:tcPr>
            <w:tcW w:w="3020" w:type="dxa"/>
            <w:vMerge/>
            <w:tcBorders>
              <w:top w:val="nil"/>
              <w:left w:val="single" w:sz="4" w:space="0" w:color="auto"/>
              <w:bottom w:val="single" w:sz="4" w:space="0" w:color="auto"/>
              <w:right w:val="single" w:sz="4" w:space="0" w:color="auto"/>
            </w:tcBorders>
            <w:vAlign w:val="center"/>
            <w:hideMark/>
          </w:tcPr>
          <w:p w14:paraId="0CFBD764" w14:textId="77777777" w:rsidR="00AE3BB7" w:rsidRPr="000C456A" w:rsidRDefault="00AE3BB7" w:rsidP="000C456A">
            <w:pPr>
              <w:spacing w:after="0" w:line="240" w:lineRule="auto"/>
              <w:rPr>
                <w:rFonts w:ascii="Calibri" w:eastAsia="Times New Roman" w:hAnsi="Calibri" w:cs="Calibri"/>
                <w:color w:val="000000"/>
              </w:rPr>
            </w:pPr>
          </w:p>
        </w:tc>
        <w:tc>
          <w:tcPr>
            <w:tcW w:w="1318" w:type="dxa"/>
            <w:vMerge/>
            <w:tcBorders>
              <w:top w:val="nil"/>
              <w:left w:val="single" w:sz="4" w:space="0" w:color="auto"/>
              <w:bottom w:val="single" w:sz="4" w:space="0" w:color="auto"/>
              <w:right w:val="single" w:sz="4" w:space="0" w:color="auto"/>
            </w:tcBorders>
            <w:vAlign w:val="center"/>
            <w:hideMark/>
          </w:tcPr>
          <w:p w14:paraId="3482BDC4" w14:textId="77777777" w:rsidR="00AE3BB7" w:rsidRPr="000C456A" w:rsidRDefault="00AE3BB7" w:rsidP="000C456A">
            <w:pPr>
              <w:spacing w:after="0" w:line="240" w:lineRule="auto"/>
              <w:rPr>
                <w:rFonts w:ascii="Calibri" w:eastAsia="Times New Roman" w:hAnsi="Calibri" w:cs="Calibri"/>
                <w:color w:val="000000"/>
              </w:rPr>
            </w:pPr>
          </w:p>
        </w:tc>
        <w:tc>
          <w:tcPr>
            <w:tcW w:w="2696" w:type="dxa"/>
            <w:vMerge/>
            <w:tcBorders>
              <w:top w:val="nil"/>
              <w:left w:val="single" w:sz="4" w:space="0" w:color="auto"/>
              <w:bottom w:val="single" w:sz="4" w:space="0" w:color="auto"/>
              <w:right w:val="single" w:sz="4" w:space="0" w:color="auto"/>
            </w:tcBorders>
            <w:vAlign w:val="center"/>
            <w:hideMark/>
          </w:tcPr>
          <w:p w14:paraId="16B6E903" w14:textId="77777777" w:rsidR="00AE3BB7" w:rsidRPr="000C456A" w:rsidRDefault="00AE3BB7" w:rsidP="000C456A">
            <w:pPr>
              <w:spacing w:after="0" w:line="240" w:lineRule="auto"/>
              <w:rPr>
                <w:rFonts w:ascii="Calibri" w:eastAsia="Times New Roman" w:hAnsi="Calibri" w:cs="Calibri"/>
                <w:color w:val="000000"/>
              </w:rPr>
            </w:pPr>
          </w:p>
        </w:tc>
        <w:tc>
          <w:tcPr>
            <w:tcW w:w="1803" w:type="dxa"/>
            <w:vMerge/>
            <w:tcBorders>
              <w:top w:val="nil"/>
              <w:left w:val="single" w:sz="4" w:space="0" w:color="auto"/>
              <w:bottom w:val="single" w:sz="4" w:space="0" w:color="auto"/>
              <w:right w:val="single" w:sz="4" w:space="0" w:color="auto"/>
            </w:tcBorders>
            <w:vAlign w:val="center"/>
            <w:hideMark/>
          </w:tcPr>
          <w:p w14:paraId="0215E5A5" w14:textId="77777777" w:rsidR="00AE3BB7" w:rsidRPr="000C456A" w:rsidRDefault="00AE3BB7" w:rsidP="000C456A">
            <w:pPr>
              <w:spacing w:after="0" w:line="240" w:lineRule="auto"/>
              <w:rPr>
                <w:rFonts w:ascii="Calibri" w:eastAsia="Times New Roman" w:hAnsi="Calibri" w:cs="Calibri"/>
                <w:color w:val="000000"/>
              </w:rPr>
            </w:pPr>
          </w:p>
        </w:tc>
        <w:tc>
          <w:tcPr>
            <w:tcW w:w="1924" w:type="dxa"/>
            <w:vMerge/>
            <w:tcBorders>
              <w:left w:val="single" w:sz="4" w:space="0" w:color="auto"/>
              <w:bottom w:val="single" w:sz="4" w:space="0" w:color="auto"/>
              <w:right w:val="single" w:sz="4" w:space="0" w:color="auto"/>
            </w:tcBorders>
          </w:tcPr>
          <w:p w14:paraId="2C4B02FC" w14:textId="77777777" w:rsidR="00AE3BB7" w:rsidRPr="000C456A" w:rsidRDefault="00AE3BB7" w:rsidP="000C456A">
            <w:pPr>
              <w:spacing w:after="0" w:line="240" w:lineRule="auto"/>
              <w:rPr>
                <w:rFonts w:ascii="Calibri" w:eastAsia="Times New Roman" w:hAnsi="Calibri" w:cs="Calibri"/>
                <w:color w:val="000000"/>
              </w:rPr>
            </w:pPr>
          </w:p>
        </w:tc>
      </w:tr>
      <w:tr w:rsidR="00AE3BB7" w:rsidRPr="000C456A" w14:paraId="5BB4CAD5" w14:textId="54BE54D6" w:rsidTr="000D79A2">
        <w:trPr>
          <w:trHeight w:val="570"/>
          <w:jc w:val="center"/>
          <w:cantSplit/>
        </w:trPr>
        <w:tc>
          <w:tcPr>
            <w:tcW w:w="1902" w:type="dxa"/>
            <w:tcBorders>
              <w:top w:val="nil"/>
              <w:left w:val="single" w:sz="4" w:space="0" w:color="auto"/>
              <w:bottom w:val="single" w:sz="4" w:space="0" w:color="auto"/>
              <w:right w:val="single" w:sz="4" w:space="0" w:color="auto"/>
            </w:tcBorders>
            <w:vAlign w:val="center"/>
            <w:hideMark/>
          </w:tcPr>
          <w:p>
            <w:r/>
          </w:p>
        </w:tc>
        <w:tc>
          <w:tcPr>
            <w:tcW w:w="831" w:type="dxa"/>
            <w:tcBorders>
              <w:top w:val="nil"/>
              <w:left w:val="nil"/>
              <w:bottom w:val="single" w:sz="4" w:space="0" w:color="auto"/>
              <w:right w:val="single" w:sz="4" w:space="0" w:color="auto"/>
            </w:tcBorders>
            <w:vAlign w:val="center"/>
            <w:hideMark/>
          </w:tcPr>
          <w:p>
            <w:r>
              <w:t>9</w:t>
            </w:r>
          </w:p>
        </w:tc>
        <w:tc>
          <w:tcPr>
            <w:tcW w:w="3020" w:type="dxa"/>
            <w:tcBorders>
              <w:top w:val="nil"/>
              <w:left w:val="nil"/>
              <w:bottom w:val="single" w:sz="4" w:space="0" w:color="auto"/>
              <w:right w:val="single" w:sz="4" w:space="0" w:color="auto"/>
            </w:tcBorders>
            <w:vAlign w:val="center"/>
            <w:hideMark/>
          </w:tcPr>
          <w:p>
            <w:r>
              <w:t>Finalize Technical &amp; Commercial Proposal</w:t>
            </w:r>
          </w:p>
        </w:tc>
        <w:tc>
          <w:tcPr>
            <w:tcW w:w="1318" w:type="dxa"/>
            <w:tcBorders>
              <w:top w:val="nil"/>
              <w:left w:val="nil"/>
              <w:bottom w:val="single" w:sz="4" w:space="0" w:color="auto"/>
              <w:right w:val="single" w:sz="4" w:space="0" w:color="auto"/>
            </w:tcBorders>
            <w:vAlign w:val="center"/>
            <w:hideMark/>
          </w:tcPr>
          <w:p>
            <w:r>
              <w:t>Consulting Firm</w:t>
            </w:r>
          </w:p>
        </w:tc>
        <w:tc>
          <w:tcPr>
            <w:tcW w:w="2696" w:type="dxa"/>
            <w:tcBorders>
              <w:top w:val="nil"/>
              <w:left w:val="nil"/>
              <w:bottom w:val="single" w:sz="4" w:space="0" w:color="auto"/>
              <w:right w:val="single" w:sz="4" w:space="0" w:color="auto"/>
            </w:tcBorders>
            <w:vAlign w:val="center"/>
            <w:hideMark/>
          </w:tcPr>
          <w:p>
            <w:r>
              <w:t>Final Proposal</w:t>
            </w:r>
          </w:p>
        </w:tc>
        <w:tc>
          <w:tcPr>
            <w:tcW w:w="1803" w:type="dxa"/>
            <w:tcBorders>
              <w:top w:val="nil"/>
              <w:left w:val="nil"/>
              <w:bottom w:val="single" w:sz="4" w:space="0" w:color="auto"/>
              <w:right w:val="single" w:sz="4" w:space="0" w:color="auto"/>
            </w:tcBorders>
            <w:vAlign w:val="center"/>
            <w:hideMark/>
          </w:tcPr>
          <w:p>
            <w:r>
              <w:t>18–28 Aug 2026</w:t>
            </w:r>
          </w:p>
        </w:tc>
        <w:tc>
          <w:tcPr>
            <w:tcW w:w="1924" w:type="dxa"/>
            <w:tcBorders>
              <w:top w:val="nil"/>
              <w:left w:val="nil"/>
              <w:bottom w:val="single" w:sz="4" w:space="0" w:color="auto"/>
              <w:right w:val="single" w:sz="4" w:space="0" w:color="auto"/>
            </w:tcBorders>
          </w:tcPr>
          <w:p>
            <w:r/>
          </w:p>
        </w:tc>
      </w:tr>
      <w:tr w:rsidR="00AE3BB7" w:rsidRPr="000C456A" w14:paraId="3CFD3BC3" w14:textId="624E3052" w:rsidTr="000D79A2">
        <w:trPr>
          <w:trHeight w:val="285"/>
          <w:jc w:val="center"/>
          <w:cantSplit/>
        </w:trPr>
        <w:tc>
          <w:tcPr>
            <w:tcW w:w="1902" w:type="dxa"/>
            <w:tcBorders>
              <w:top w:val="nil"/>
              <w:left w:val="single" w:sz="4" w:space="0" w:color="auto"/>
              <w:bottom w:val="single" w:sz="4" w:space="0" w:color="auto"/>
              <w:right w:val="single" w:sz="4" w:space="0" w:color="auto"/>
            </w:tcBorders>
            <w:vAlign w:val="center"/>
            <w:hideMark/>
          </w:tcPr>
          <w:p>
            <w:r>
              <w:t>Stage 2</w:t>
            </w:r>
          </w:p>
        </w:tc>
        <w:tc>
          <w:tcPr>
            <w:tcW w:w="831" w:type="dxa"/>
            <w:vMerge w:val="restart"/>
            <w:tcBorders>
              <w:top w:val="nil"/>
              <w:left w:val="single" w:sz="4" w:space="0" w:color="auto"/>
              <w:bottom w:val="single" w:sz="4" w:space="0" w:color="auto"/>
              <w:right w:val="single" w:sz="4" w:space="0" w:color="auto"/>
            </w:tcBorders>
            <w:vAlign w:val="center"/>
            <w:hideMark/>
          </w:tcPr>
          <w:p>
            <w:r>
              <w:t>10</w:t>
            </w:r>
          </w:p>
        </w:tc>
        <w:tc>
          <w:tcPr>
            <w:tcW w:w="3020" w:type="dxa"/>
            <w:vMerge w:val="restart"/>
            <w:tcBorders>
              <w:top w:val="nil"/>
              <w:left w:val="single" w:sz="4" w:space="0" w:color="auto"/>
              <w:bottom w:val="single" w:sz="4" w:space="0" w:color="auto"/>
              <w:right w:val="single" w:sz="4" w:space="0" w:color="auto"/>
            </w:tcBorders>
            <w:vAlign w:val="center"/>
            <w:hideMark/>
          </w:tcPr>
          <w:p>
            <w:r>
              <w:t>Proposal submission deadline and bid opening</w:t>
            </w:r>
          </w:p>
        </w:tc>
        <w:tc>
          <w:tcPr>
            <w:tcW w:w="1318" w:type="dxa"/>
            <w:vMerge w:val="restart"/>
            <w:tcBorders>
              <w:top w:val="nil"/>
              <w:left w:val="single" w:sz="4" w:space="0" w:color="auto"/>
              <w:bottom w:val="single" w:sz="4" w:space="0" w:color="auto"/>
              <w:right w:val="single" w:sz="4" w:space="0" w:color="auto"/>
            </w:tcBorders>
            <w:vAlign w:val="center"/>
            <w:hideMark/>
          </w:tcPr>
          <w:p>
            <w:r>
              <w:t>Consulting Firm / Bidiphar</w:t>
            </w:r>
          </w:p>
        </w:tc>
        <w:tc>
          <w:tcPr>
            <w:tcW w:w="2696" w:type="dxa"/>
            <w:vMerge w:val="restart"/>
            <w:tcBorders>
              <w:top w:val="nil"/>
              <w:left w:val="single" w:sz="4" w:space="0" w:color="auto"/>
              <w:bottom w:val="single" w:sz="4" w:space="0" w:color="auto"/>
              <w:right w:val="single" w:sz="4" w:space="0" w:color="auto"/>
            </w:tcBorders>
            <w:vAlign w:val="center"/>
            <w:hideMark/>
          </w:tcPr>
          <w:p>
            <w:r>
              <w:t>Proposal / Bid Opening Record</w:t>
            </w:r>
          </w:p>
        </w:tc>
        <w:tc>
          <w:tcPr>
            <w:tcW w:w="1803" w:type="dxa"/>
            <w:vMerge w:val="restart"/>
            <w:tcBorders>
              <w:top w:val="nil"/>
              <w:left w:val="single" w:sz="4" w:space="0" w:color="auto"/>
              <w:bottom w:val="single" w:sz="4" w:space="0" w:color="auto"/>
              <w:right w:val="single" w:sz="4" w:space="0" w:color="auto"/>
            </w:tcBorders>
            <w:vAlign w:val="center"/>
            <w:hideMark/>
          </w:tcPr>
          <w:p>
            <w:r>
              <w:t>Submit: 15:30, 28-Aug; Open: 09:00, 29-Aug-2026 (GMT+7)</w:t>
            </w:r>
          </w:p>
        </w:tc>
        <w:tc>
          <w:tcPr>
            <w:tcW w:w="1924" w:type="dxa"/>
            <w:vMerge w:val="restart"/>
            <w:tcBorders>
              <w:top w:val="nil"/>
              <w:left w:val="single" w:sz="4" w:space="0" w:color="auto"/>
              <w:right w:val="single" w:sz="4" w:space="0" w:color="auto"/>
            </w:tcBorders>
          </w:tcPr>
          <w:p>
            <w:r/>
          </w:p>
        </w:tc>
      </w:tr>
      <w:tr w:rsidR="00AE3BB7" w:rsidRPr="000C456A" w14:paraId="75844ABE" w14:textId="6965E0F9" w:rsidTr="000D79A2">
        <w:trPr>
          <w:trHeight w:val="285"/>
          <w:jc w:val="center"/>
          <w:cantSplit/>
        </w:trPr>
        <w:tc>
          <w:tcPr>
            <w:tcW w:w="1902" w:type="dxa"/>
            <w:tcBorders>
              <w:top w:val="nil"/>
              <w:left w:val="single" w:sz="4" w:space="0" w:color="auto"/>
              <w:bottom w:val="single" w:sz="4" w:space="0" w:color="auto"/>
              <w:right w:val="single" w:sz="4" w:space="0" w:color="auto"/>
            </w:tcBorders>
            <w:vAlign w:val="center"/>
            <w:hideMark/>
          </w:tcPr>
          <w:p>
            <w:r>
              <w:t>Proposal Submission / Bid Opening</w:t>
            </w:r>
          </w:p>
        </w:tc>
        <w:tc>
          <w:tcPr>
            <w:tcW w:w="831" w:type="dxa"/>
            <w:vMerge/>
            <w:tcBorders>
              <w:top w:val="nil"/>
              <w:left w:val="single" w:sz="4" w:space="0" w:color="auto"/>
              <w:bottom w:val="single" w:sz="4" w:space="0" w:color="auto"/>
              <w:right w:val="single" w:sz="4" w:space="0" w:color="auto"/>
            </w:tcBorders>
            <w:vAlign w:val="center"/>
            <w:hideMark/>
          </w:tcPr>
          <w:p w14:paraId="13F0E839" w14:textId="77777777" w:rsidR="00AE3BB7" w:rsidRPr="000C456A" w:rsidRDefault="00AE3BB7" w:rsidP="000C456A">
            <w:pPr>
              <w:spacing w:after="0" w:line="240" w:lineRule="auto"/>
              <w:rPr>
                <w:rFonts w:ascii="Calibri" w:eastAsia="Times New Roman" w:hAnsi="Calibri" w:cs="Calibri"/>
                <w:color w:val="000000"/>
              </w:rPr>
            </w:pPr>
          </w:p>
        </w:tc>
        <w:tc>
          <w:tcPr>
            <w:tcW w:w="3020" w:type="dxa"/>
            <w:vMerge/>
            <w:tcBorders>
              <w:top w:val="nil"/>
              <w:left w:val="single" w:sz="4" w:space="0" w:color="auto"/>
              <w:bottom w:val="single" w:sz="4" w:space="0" w:color="auto"/>
              <w:right w:val="single" w:sz="4" w:space="0" w:color="auto"/>
            </w:tcBorders>
            <w:vAlign w:val="center"/>
            <w:hideMark/>
          </w:tcPr>
          <w:p w14:paraId="1C098FDA" w14:textId="77777777" w:rsidR="00AE3BB7" w:rsidRPr="000C456A" w:rsidRDefault="00AE3BB7" w:rsidP="000C456A">
            <w:pPr>
              <w:spacing w:after="0" w:line="240" w:lineRule="auto"/>
              <w:rPr>
                <w:rFonts w:ascii="Calibri" w:eastAsia="Times New Roman" w:hAnsi="Calibri" w:cs="Calibri"/>
                <w:color w:val="000000"/>
              </w:rPr>
            </w:pPr>
          </w:p>
        </w:tc>
        <w:tc>
          <w:tcPr>
            <w:tcW w:w="1318" w:type="dxa"/>
            <w:vMerge/>
            <w:tcBorders>
              <w:top w:val="nil"/>
              <w:left w:val="single" w:sz="4" w:space="0" w:color="auto"/>
              <w:bottom w:val="single" w:sz="4" w:space="0" w:color="auto"/>
              <w:right w:val="single" w:sz="4" w:space="0" w:color="auto"/>
            </w:tcBorders>
            <w:vAlign w:val="center"/>
            <w:hideMark/>
          </w:tcPr>
          <w:p w14:paraId="35E05A10" w14:textId="77777777" w:rsidR="00AE3BB7" w:rsidRPr="000C456A" w:rsidRDefault="00AE3BB7" w:rsidP="000C456A">
            <w:pPr>
              <w:spacing w:after="0" w:line="240" w:lineRule="auto"/>
              <w:rPr>
                <w:rFonts w:ascii="Calibri" w:eastAsia="Times New Roman" w:hAnsi="Calibri" w:cs="Calibri"/>
                <w:color w:val="000000"/>
              </w:rPr>
            </w:pPr>
          </w:p>
        </w:tc>
        <w:tc>
          <w:tcPr>
            <w:tcW w:w="2696" w:type="dxa"/>
            <w:vMerge/>
            <w:tcBorders>
              <w:top w:val="nil"/>
              <w:left w:val="single" w:sz="4" w:space="0" w:color="auto"/>
              <w:bottom w:val="single" w:sz="4" w:space="0" w:color="auto"/>
              <w:right w:val="single" w:sz="4" w:space="0" w:color="auto"/>
            </w:tcBorders>
            <w:vAlign w:val="center"/>
            <w:hideMark/>
          </w:tcPr>
          <w:p w14:paraId="7AEBF6AB" w14:textId="77777777" w:rsidR="00AE3BB7" w:rsidRPr="000C456A" w:rsidRDefault="00AE3BB7" w:rsidP="000C456A">
            <w:pPr>
              <w:spacing w:after="0" w:line="240" w:lineRule="auto"/>
              <w:rPr>
                <w:rFonts w:ascii="Calibri" w:eastAsia="Times New Roman" w:hAnsi="Calibri" w:cs="Calibri"/>
                <w:color w:val="000000"/>
              </w:rPr>
            </w:pPr>
          </w:p>
        </w:tc>
        <w:tc>
          <w:tcPr>
            <w:tcW w:w="1803" w:type="dxa"/>
            <w:vMerge/>
            <w:tcBorders>
              <w:top w:val="nil"/>
              <w:left w:val="single" w:sz="4" w:space="0" w:color="auto"/>
              <w:bottom w:val="single" w:sz="4" w:space="0" w:color="auto"/>
              <w:right w:val="single" w:sz="4" w:space="0" w:color="auto"/>
            </w:tcBorders>
            <w:vAlign w:val="center"/>
            <w:hideMark/>
          </w:tcPr>
          <w:p w14:paraId="4962FCAD" w14:textId="77777777" w:rsidR="00AE3BB7" w:rsidRPr="000C456A" w:rsidRDefault="00AE3BB7" w:rsidP="000C456A">
            <w:pPr>
              <w:spacing w:after="0" w:line="240" w:lineRule="auto"/>
              <w:rPr>
                <w:rFonts w:ascii="Calibri" w:eastAsia="Times New Roman" w:hAnsi="Calibri" w:cs="Calibri"/>
                <w:color w:val="000000"/>
              </w:rPr>
            </w:pPr>
          </w:p>
        </w:tc>
        <w:tc>
          <w:tcPr>
            <w:tcW w:w="1924" w:type="dxa"/>
            <w:vMerge/>
            <w:tcBorders>
              <w:left w:val="single" w:sz="4" w:space="0" w:color="auto"/>
              <w:bottom w:val="single" w:sz="4" w:space="0" w:color="auto"/>
              <w:right w:val="single" w:sz="4" w:space="0" w:color="auto"/>
            </w:tcBorders>
          </w:tcPr>
          <w:p w14:paraId="0474ACEB" w14:textId="77777777" w:rsidR="00AE3BB7" w:rsidRPr="000C456A" w:rsidRDefault="00AE3BB7" w:rsidP="000C456A">
            <w:pPr>
              <w:spacing w:after="0" w:line="240" w:lineRule="auto"/>
              <w:rPr>
                <w:rFonts w:ascii="Calibri" w:eastAsia="Times New Roman" w:hAnsi="Calibri" w:cs="Calibri"/>
                <w:color w:val="000000"/>
              </w:rPr>
            </w:pPr>
          </w:p>
        </w:tc>
      </w:tr>
    </w:tbl>
    <w:p w14:paraId="5BECCFA6" w14:textId="26B715EA" w:rsidR="004E5909" w:rsidRPr="004E5909" w:rsidRDefault="004E5909" w:rsidP="009A2407">
      <w:pPr>
        <w:spacing w:after="0" w:line="240" w:lineRule="auto"/>
        <w:ind w:left="993" w:right="955" w:hanging="284"/>
        <w:jc w:val="both"/>
        <w:rPr>
          <w:b/>
          <w:bCs/>
        </w:rPr>
      </w:pPr>
    </w:p>
    <w:p w14:paraId="75B9D42B" w14:textId="77777777" w:rsidR="009A2407" w:rsidRPr="009A2407" w:rsidRDefault="009A2407" w:rsidP="009A2407">
      <w:pPr>
        <w:spacing w:after="0" w:line="240" w:lineRule="auto"/>
        <w:ind w:left="993" w:right="955"/>
        <w:jc w:val="both"/>
        <w:rPr>
          <w:b/>
          <w:bCs/>
        </w:rPr>
      </w:pPr>
      <w:r w:rsidRPr="009A2407">
        <w:rPr>
          <w:b/>
          <w:bCs/>
        </w:rPr>
        <w:t>Notes</w:t>
      </w:r>
    </w:p>
    <w:p w14:paraId="750D63EA" w14:textId="77777777" w:rsidR="009A2407" w:rsidRPr="009A2407" w:rsidRDefault="009A2407" w:rsidP="009A2407">
      <w:pPr>
        <w:spacing w:after="0" w:line="240" w:lineRule="auto"/>
        <w:ind w:left="993" w:right="955"/>
        <w:jc w:val="both"/>
      </w:pPr>
      <w:r w:rsidRPr="009A2407">
        <w:rPr>
          <w:b/>
          <w:bCs/>
        </w:rPr>
        <w:t>1.</w:t>
      </w:r>
      <w:r w:rsidRPr="009A2407">
        <w:t xml:space="preserve"> The above schedule is a </w:t>
      </w:r>
      <w:r w:rsidRPr="009A2407">
        <w:rPr>
          <w:b/>
          <w:bCs/>
        </w:rPr>
        <w:t>tentative timeline</w:t>
      </w:r>
      <w:r w:rsidRPr="009A2407">
        <w:t xml:space="preserve"> prepared by Bidiphar for planning and coordinating the Consultant Selection Process. All dates and times specified in this schedule are based on </w:t>
      </w:r>
      <w:r w:rsidRPr="009A2407">
        <w:rPr>
          <w:b/>
          <w:bCs/>
        </w:rPr>
        <w:t>Vietnam Time (GMT+7)</w:t>
      </w:r>
      <w:r w:rsidRPr="009A2407">
        <w:t>.</w:t>
      </w:r>
    </w:p>
    <w:p w14:paraId="1DBEF03C" w14:textId="77777777" w:rsidR="009A2407" w:rsidRPr="009A2407" w:rsidRDefault="009A2407" w:rsidP="009A2407">
      <w:pPr>
        <w:spacing w:after="0" w:line="240" w:lineRule="auto"/>
        <w:ind w:left="993" w:right="955"/>
        <w:jc w:val="both"/>
      </w:pPr>
      <w:r w:rsidRPr="009A2407">
        <w:rPr>
          <w:b/>
          <w:bCs/>
        </w:rPr>
        <w:t>2.</w:t>
      </w:r>
      <w:r w:rsidRPr="009A2407">
        <w:t xml:space="preserve"> If the Consultant considers that one or more milestones in the proposed schedule are not compatible with its internal review procedures, implementation methodology or resource planning, the Consultant is kindly requested to complete the </w:t>
      </w:r>
      <w:r w:rsidRPr="009A2407">
        <w:rPr>
          <w:b/>
          <w:bCs/>
        </w:rPr>
        <w:t>"Consultant's Proposed Revision (if any)"</w:t>
      </w:r>
      <w:r w:rsidRPr="009A2407">
        <w:t xml:space="preserve"> column in this Annex and return it to Bidiphar together with the </w:t>
      </w:r>
      <w:r w:rsidRPr="009A2407">
        <w:rPr>
          <w:b/>
          <w:bCs/>
        </w:rPr>
        <w:t>Confirmation of Participation Form</w:t>
      </w:r>
      <w:r w:rsidRPr="009A2407">
        <w:t>.</w:t>
      </w:r>
    </w:p>
    <w:p w14:paraId="4112FAC0" w14:textId="77777777" w:rsidR="009A2407" w:rsidRPr="009A2407" w:rsidRDefault="009A2407" w:rsidP="009A2407">
      <w:pPr>
        <w:spacing w:after="0" w:line="240" w:lineRule="auto"/>
        <w:ind w:left="993" w:right="955"/>
        <w:jc w:val="both"/>
      </w:pPr>
      <w:r w:rsidRPr="009A2407">
        <w:t xml:space="preserve">Please clearly indicate the </w:t>
      </w:r>
      <w:r w:rsidRPr="009A2407">
        <w:rPr>
          <w:b/>
          <w:bCs/>
        </w:rPr>
        <w:t>activity to be revised, the proposed timeline and the reason for the proposed revision</w:t>
      </w:r>
      <w:r w:rsidRPr="009A2407">
        <w:t>. Bidiphar will review all comments and recommendations before finalizing the official Consultant Selection Schedule.</w:t>
      </w:r>
    </w:p>
    <w:p w14:paraId="0E8E948B" w14:textId="68A5376B" w:rsidR="004E5909" w:rsidRPr="004E5909" w:rsidRDefault="004E5909" w:rsidP="009A2407">
      <w:pPr>
        <w:spacing w:after="0" w:line="240" w:lineRule="auto"/>
        <w:ind w:left="993" w:right="955"/>
        <w:jc w:val="both"/>
      </w:pPr>
    </w:p>
    <w:sectPr w:rsidR="004E5909" w:rsidRPr="004E5909" w:rsidSect="000D79A2">
      <w:headerReference w:type="default" r:id="rId8"/>
      <w:footerReference w:type="default" r:id="rId9"/>
      <w:pgSz w:w="15840" w:h="12240" w:orient="landscape"/>
      <w:pgMar w:top="1800" w:right="284" w:bottom="1608" w:left="142" w:header="426"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B9F9A" w14:textId="77777777" w:rsidR="00706D98" w:rsidRDefault="00706D98" w:rsidP="00752CA0">
      <w:pPr>
        <w:spacing w:after="0" w:line="240" w:lineRule="auto"/>
      </w:pPr>
      <w:r>
        <w:separator/>
      </w:r>
    </w:p>
  </w:endnote>
  <w:endnote w:type="continuationSeparator" w:id="0">
    <w:p w14:paraId="567AF350" w14:textId="77777777" w:rsidR="00706D98" w:rsidRDefault="00706D98" w:rsidP="00752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1E1BD" w14:textId="53660DD2" w:rsidR="00300D98" w:rsidRDefault="00A920D6" w:rsidP="00F35DF9">
    <w:pPr>
      <w:pStyle w:val="Footer"/>
      <w:tabs>
        <w:tab w:val="clear" w:pos="4680"/>
        <w:tab w:val="clear" w:pos="9360"/>
        <w:tab w:val="left" w:pos="281"/>
        <w:tab w:val="left" w:pos="2363"/>
      </w:tabs>
    </w:pPr>
    <w:r>
      <w:tab/>
    </w:r>
    <w:r w:rsidR="00F35DF9">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95738" w14:textId="77777777" w:rsidR="00706D98" w:rsidRDefault="00706D98" w:rsidP="00752CA0">
      <w:pPr>
        <w:spacing w:after="0" w:line="240" w:lineRule="auto"/>
      </w:pPr>
      <w:r>
        <w:separator/>
      </w:r>
    </w:p>
  </w:footnote>
  <w:footnote w:type="continuationSeparator" w:id="0">
    <w:p w14:paraId="38A665FF" w14:textId="77777777" w:rsidR="00706D98" w:rsidRDefault="00706D98" w:rsidP="00752C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3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89"/>
      <w:gridCol w:w="2888"/>
    </w:tblGrid>
    <w:tr w:rsidR="00752CA0" w:rsidRPr="00E84348" w14:paraId="17D29EA3" w14:textId="77777777" w:rsidTr="000D79A2">
      <w:trPr>
        <w:trHeight w:val="990"/>
        <w:jc w:val="center"/>
      </w:trPr>
      <w:tc>
        <w:tcPr>
          <w:tcW w:w="10489" w:type="dxa"/>
        </w:tcPr>
        <w:p w14:paraId="58FFD854" w14:textId="77777777" w:rsidR="00752CA0" w:rsidRPr="00766F8C" w:rsidRDefault="00752CA0" w:rsidP="00752CA0">
          <w:pPr>
            <w:pStyle w:val="NoSpacing"/>
            <w:spacing w:before="40" w:after="40"/>
            <w:jc w:val="center"/>
            <w:rPr>
              <w:b/>
              <w:bCs/>
            </w:rPr>
          </w:pPr>
          <w:r w:rsidRPr="00766F8C">
            <w:rPr>
              <w:b/>
              <w:bCs/>
            </w:rPr>
            <w:t>BINH DINH PHARMACEUTICAL &amp; EQUIPMENT JOINT STOCK COMPANY</w:t>
          </w:r>
        </w:p>
        <w:p w14:paraId="6A1AF1CB" w14:textId="77777777" w:rsidR="00752CA0" w:rsidRDefault="00752CA0" w:rsidP="00752CA0">
          <w:pPr>
            <w:spacing w:before="60" w:after="60"/>
            <w:ind w:left="-57" w:right="-57"/>
            <w:jc w:val="center"/>
            <w:rPr>
              <w:b/>
              <w:bCs/>
            </w:rPr>
          </w:pPr>
          <w:r w:rsidRPr="00766F8C">
            <w:rPr>
              <w:b/>
              <w:bCs/>
            </w:rPr>
            <w:t>BIDIPHAR NHONHOI BRANCH</w:t>
          </w:r>
        </w:p>
        <w:p w14:paraId="26BAEC70" w14:textId="77777777" w:rsidR="00752CA0" w:rsidRPr="004604AE" w:rsidRDefault="00752CA0" w:rsidP="00752CA0">
          <w:pPr>
            <w:spacing w:before="60" w:after="60"/>
            <w:ind w:left="-57" w:right="-57"/>
            <w:jc w:val="center"/>
            <w:rPr>
              <w:noProof/>
            </w:rPr>
          </w:pPr>
          <w:r>
            <w:rPr>
              <w:b/>
              <w:bCs/>
              <w:noProof/>
            </w:rPr>
            <w:t>Add</w:t>
          </w:r>
          <w:r w:rsidRPr="004604AE">
            <w:rPr>
              <w:b/>
              <w:bCs/>
              <w:noProof/>
            </w:rPr>
            <w:t>:</w:t>
          </w:r>
          <w:r w:rsidRPr="004604AE">
            <w:rPr>
              <w:noProof/>
            </w:rPr>
            <w:t xml:space="preserve"> 498 Nguyen Thai Hoc Street, Quy Nhon Nam Ward, Gia Lai Province, Viet Nam </w:t>
          </w:r>
        </w:p>
        <w:p w14:paraId="6C0D498B" w14:textId="5F3FBD0B" w:rsidR="00752CA0" w:rsidRPr="00AF0E8D" w:rsidRDefault="00300D98" w:rsidP="00752CA0">
          <w:pPr>
            <w:spacing w:before="60" w:after="60"/>
            <w:ind w:left="-57" w:right="-57"/>
            <w:jc w:val="center"/>
            <w:rPr>
              <w:noProof/>
              <w:lang w:val="vi-VN"/>
            </w:rPr>
          </w:pPr>
          <w:r>
            <w:rPr>
              <w:b/>
              <w:bCs/>
              <w:noProof/>
            </w:rPr>
            <w:t xml:space="preserve">www. Bidiphar.com - </w:t>
          </w:r>
          <w:r w:rsidRPr="004604AE">
            <w:rPr>
              <w:b/>
              <w:bCs/>
              <w:noProof/>
            </w:rPr>
            <w:t>Email:</w:t>
          </w:r>
          <w:r w:rsidRPr="004604AE">
            <w:rPr>
              <w:noProof/>
            </w:rPr>
            <w:t xml:space="preserve"> info@bidiphar.com</w:t>
          </w:r>
        </w:p>
      </w:tc>
      <w:tc>
        <w:tcPr>
          <w:tcW w:w="2888" w:type="dxa"/>
        </w:tcPr>
        <w:p w14:paraId="54CB56ED" w14:textId="77777777" w:rsidR="00752CA0" w:rsidRPr="00E84348" w:rsidRDefault="00752CA0" w:rsidP="00752CA0">
          <w:pPr>
            <w:pBdr>
              <w:top w:val="nil"/>
              <w:left w:val="nil"/>
              <w:bottom w:val="nil"/>
              <w:right w:val="nil"/>
              <w:between w:val="nil"/>
            </w:pBdr>
            <w:tabs>
              <w:tab w:val="center" w:pos="4680"/>
              <w:tab w:val="right" w:pos="9360"/>
            </w:tabs>
            <w:spacing w:before="60" w:after="60"/>
            <w:jc w:val="center"/>
            <w:rPr>
              <w:b/>
              <w:noProof/>
            </w:rPr>
          </w:pPr>
          <w:r w:rsidRPr="00E84348">
            <w:rPr>
              <w:noProof/>
            </w:rPr>
            <w:drawing>
              <wp:anchor distT="0" distB="0" distL="114300" distR="114300" simplePos="0" relativeHeight="251658752" behindDoc="0" locked="0" layoutInCell="1" hidden="0" allowOverlap="1" wp14:anchorId="14A90E97" wp14:editId="287B874D">
                <wp:simplePos x="0" y="0"/>
                <wp:positionH relativeFrom="column">
                  <wp:posOffset>278130</wp:posOffset>
                </wp:positionH>
                <wp:positionV relativeFrom="paragraph">
                  <wp:posOffset>179705</wp:posOffset>
                </wp:positionV>
                <wp:extent cx="1025525" cy="619125"/>
                <wp:effectExtent l="0" t="0" r="3175" b="9525"/>
                <wp:wrapNone/>
                <wp:docPr id="1666452454" name="image1.png" descr="A blue and black logo&#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A blue and black logo&#10;&#10;Description automatically generated with low confidence"/>
                        <pic:cNvPicPr preferRelativeResize="0"/>
                      </pic:nvPicPr>
                      <pic:blipFill>
                        <a:blip r:embed="rId1"/>
                        <a:srcRect/>
                        <a:stretch>
                          <a:fillRect/>
                        </a:stretch>
                      </pic:blipFill>
                      <pic:spPr>
                        <a:xfrm>
                          <a:off x="0" y="0"/>
                          <a:ext cx="1025525" cy="619125"/>
                        </a:xfrm>
                        <a:prstGeom prst="rect">
                          <a:avLst/>
                        </a:prstGeom>
                        <a:ln/>
                      </pic:spPr>
                    </pic:pic>
                  </a:graphicData>
                </a:graphic>
                <wp14:sizeRelH relativeFrom="margin">
                  <wp14:pctWidth>0</wp14:pctWidth>
                </wp14:sizeRelH>
                <wp14:sizeRelV relativeFrom="margin">
                  <wp14:pctHeight>0</wp14:pctHeight>
                </wp14:sizeRelV>
              </wp:anchor>
            </w:drawing>
          </w:r>
        </w:p>
      </w:tc>
    </w:tr>
    <w:tr w:rsidR="00752CA0" w:rsidRPr="00E84348" w14:paraId="11481061" w14:textId="77777777" w:rsidTr="000D79A2">
      <w:trPr>
        <w:trHeight w:val="676"/>
        <w:jc w:val="center"/>
      </w:trPr>
      <w:tc>
        <w:tcPr>
          <w:tcW w:w="13377" w:type="dxa"/>
          <w:gridSpan w:val="2"/>
          <w:vAlign w:val="center"/>
        </w:tcPr>
        <w:p w14:paraId="061C9335" w14:textId="43979397" w:rsidR="00752CA0" w:rsidRPr="00F35DF9" w:rsidRDefault="00F35DF9" w:rsidP="00F35DF9">
          <w:pPr>
            <w:spacing w:after="120" w:line="240" w:lineRule="auto"/>
            <w:jc w:val="center"/>
            <w:rPr>
              <w:b/>
              <w:bCs/>
            </w:rPr>
          </w:pPr>
          <w:r w:rsidRPr="00F35DF9">
            <w:rPr>
              <w:b/>
              <w:bCs/>
              <w:color w:val="0070C0"/>
            </w:rPr>
            <w:t>TENTATIVE CONSULTANT SELECTION SCHEDULE</w:t>
          </w:r>
        </w:p>
      </w:tc>
    </w:tr>
  </w:tbl>
  <w:p w14:paraId="52173296" w14:textId="77777777" w:rsidR="00752CA0" w:rsidRDefault="00752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6E76838"/>
    <w:multiLevelType w:val="multilevel"/>
    <w:tmpl w:val="12D26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1829897">
    <w:abstractNumId w:val="8"/>
  </w:num>
  <w:num w:numId="2" w16cid:durableId="241064422">
    <w:abstractNumId w:val="6"/>
  </w:num>
  <w:num w:numId="3" w16cid:durableId="1629511572">
    <w:abstractNumId w:val="5"/>
  </w:num>
  <w:num w:numId="4" w16cid:durableId="1637877822">
    <w:abstractNumId w:val="4"/>
  </w:num>
  <w:num w:numId="5" w16cid:durableId="292907640">
    <w:abstractNumId w:val="7"/>
  </w:num>
  <w:num w:numId="6" w16cid:durableId="246035362">
    <w:abstractNumId w:val="3"/>
  </w:num>
  <w:num w:numId="7" w16cid:durableId="2003119439">
    <w:abstractNumId w:val="2"/>
  </w:num>
  <w:num w:numId="8" w16cid:durableId="251282332">
    <w:abstractNumId w:val="1"/>
  </w:num>
  <w:num w:numId="9" w16cid:durableId="1883203031">
    <w:abstractNumId w:val="0"/>
  </w:num>
  <w:num w:numId="10" w16cid:durableId="12178117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456A"/>
    <w:rsid w:val="000D79A2"/>
    <w:rsid w:val="000E11A7"/>
    <w:rsid w:val="0015074B"/>
    <w:rsid w:val="0029639D"/>
    <w:rsid w:val="002B4225"/>
    <w:rsid w:val="00300D98"/>
    <w:rsid w:val="00326F90"/>
    <w:rsid w:val="00336DD6"/>
    <w:rsid w:val="00467B42"/>
    <w:rsid w:val="004E5909"/>
    <w:rsid w:val="00706D98"/>
    <w:rsid w:val="00752CA0"/>
    <w:rsid w:val="008A1EF1"/>
    <w:rsid w:val="009636EC"/>
    <w:rsid w:val="009A2407"/>
    <w:rsid w:val="00A920D6"/>
    <w:rsid w:val="00AA1D8D"/>
    <w:rsid w:val="00AD76A9"/>
    <w:rsid w:val="00AE3BB7"/>
    <w:rsid w:val="00B461C1"/>
    <w:rsid w:val="00B47730"/>
    <w:rsid w:val="00C060B4"/>
    <w:rsid w:val="00CB0664"/>
    <w:rsid w:val="00DC2BAF"/>
    <w:rsid w:val="00EF1DF4"/>
    <w:rsid w:val="00F23389"/>
    <w:rsid w:val="00F35DF9"/>
    <w:rsid w:val="00F80E4E"/>
    <w:rsid w:val="00FC693F"/>
    <w:rsid w:val="00FC7F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BEC333"/>
  <w14:defaultImageDpi w14:val="300"/>
  <w15:docId w15:val="{4E85DC2D-8092-4CA1-A275-668314894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oSpacingChar">
    <w:name w:val="No Spacing Char"/>
    <w:basedOn w:val="DefaultParagraphFont"/>
    <w:link w:val="NoSpacing"/>
    <w:uiPriority w:val="1"/>
    <w:rsid w:val="00752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686760">
      <w:bodyDiv w:val="1"/>
      <w:marLeft w:val="0"/>
      <w:marRight w:val="0"/>
      <w:marTop w:val="0"/>
      <w:marBottom w:val="0"/>
      <w:divBdr>
        <w:top w:val="none" w:sz="0" w:space="0" w:color="auto"/>
        <w:left w:val="none" w:sz="0" w:space="0" w:color="auto"/>
        <w:bottom w:val="none" w:sz="0" w:space="0" w:color="auto"/>
        <w:right w:val="none" w:sz="0" w:space="0" w:color="auto"/>
      </w:divBdr>
      <w:divsChild>
        <w:div w:id="210930857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360</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Trần Đình Khải</cp:lastModifiedBy>
  <cp:revision>13</cp:revision>
  <dcterms:created xsi:type="dcterms:W3CDTF">2013-12-23T23:15:00Z</dcterms:created>
  <dcterms:modified xsi:type="dcterms:W3CDTF">2026-06-29T04:47:00Z</dcterms:modified>
  <cp:category/>
</cp:coreProperties>
</file>